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1BE" w:rsidRDefault="009A2D35" w:rsidP="006F1B8E">
      <w:pPr>
        <w:pStyle w:val="Citationintense"/>
        <w:pBdr>
          <w:bottom w:val="single" w:sz="4" w:space="22" w:color="5B9BD5" w:themeColor="accent1"/>
        </w:pBdr>
        <w:spacing w:before="0" w:after="0"/>
        <w:ind w:right="-1417" w:hanging="2281"/>
        <w:rPr>
          <w:rFonts w:ascii="Garamond" w:hAnsi="Garamond"/>
          <w:b/>
          <w:i w:val="0"/>
          <w:sz w:val="24"/>
          <w:szCs w:val="24"/>
        </w:rPr>
      </w:pPr>
      <w:r w:rsidRPr="007470E9">
        <w:rPr>
          <w:rFonts w:ascii="Garamond" w:hAnsi="Garamond"/>
          <w:b/>
          <w:i w:val="0"/>
          <w:sz w:val="24"/>
          <w:szCs w:val="24"/>
        </w:rPr>
        <w:t>NOTE DE RESTITUTION</w:t>
      </w:r>
    </w:p>
    <w:p w:rsidR="009A2D35" w:rsidRPr="007470E9" w:rsidRDefault="009A2D35" w:rsidP="00FD71BE">
      <w:pPr>
        <w:pStyle w:val="Citationintense"/>
        <w:pBdr>
          <w:bottom w:val="single" w:sz="4" w:space="22" w:color="5B9BD5" w:themeColor="accent1"/>
        </w:pBdr>
        <w:spacing w:before="0" w:after="0"/>
        <w:ind w:right="-1417" w:hanging="2281"/>
        <w:rPr>
          <w:rFonts w:ascii="Garamond" w:hAnsi="Garamond"/>
          <w:b/>
          <w:i w:val="0"/>
          <w:sz w:val="24"/>
          <w:szCs w:val="24"/>
        </w:rPr>
      </w:pPr>
      <w:r w:rsidRPr="007470E9">
        <w:rPr>
          <w:rFonts w:ascii="Garamond" w:hAnsi="Garamond"/>
          <w:b/>
          <w:i w:val="0"/>
          <w:sz w:val="24"/>
          <w:szCs w:val="24"/>
        </w:rPr>
        <w:t xml:space="preserve"> </w:t>
      </w:r>
    </w:p>
    <w:p w:rsidR="009A2D35" w:rsidRPr="00FD71BE" w:rsidRDefault="00FD71BE" w:rsidP="00FD71BE">
      <w:pPr>
        <w:pStyle w:val="Citationintense"/>
        <w:pBdr>
          <w:bottom w:val="single" w:sz="4" w:space="22" w:color="5B9BD5" w:themeColor="accent1"/>
        </w:pBdr>
        <w:spacing w:before="0" w:after="0"/>
        <w:ind w:right="-1417" w:hanging="2281"/>
        <w:rPr>
          <w:rFonts w:ascii="Garamond" w:hAnsi="Garamond"/>
          <w:b/>
          <w:i w:val="0"/>
          <w:sz w:val="24"/>
          <w:szCs w:val="24"/>
        </w:rPr>
      </w:pPr>
      <w:r w:rsidRPr="00FD71BE">
        <w:rPr>
          <w:rFonts w:ascii="Garamond" w:hAnsi="Garamond"/>
          <w:b/>
          <w:i w:val="0"/>
          <w:sz w:val="24"/>
          <w:szCs w:val="24"/>
        </w:rPr>
        <w:t>REUNION D’HARMONISATION ENTRE LA DGDA ET L’ITIE-RDC AU SUJET DES ECARTS ET DE LA PREPARATION DE LA DECLARATION DE LA DGDA</w:t>
      </w:r>
    </w:p>
    <w:p w:rsidR="009A2D35" w:rsidRPr="009A2D35" w:rsidRDefault="009A2D35" w:rsidP="009A2D35">
      <w:pPr>
        <w:spacing w:after="0"/>
        <w:jc w:val="both"/>
        <w:rPr>
          <w:rFonts w:ascii="Garamond" w:hAnsi="Garamond"/>
          <w:b/>
          <w:sz w:val="20"/>
          <w:szCs w:val="28"/>
        </w:rPr>
      </w:pPr>
    </w:p>
    <w:p w:rsidR="007470E9" w:rsidRDefault="009A2D35" w:rsidP="007470E9">
      <w:pPr>
        <w:spacing w:after="0"/>
        <w:jc w:val="both"/>
        <w:rPr>
          <w:rFonts w:ascii="Garamond" w:hAnsi="Garamond"/>
          <w:sz w:val="28"/>
          <w:szCs w:val="28"/>
        </w:rPr>
      </w:pPr>
      <w:r w:rsidRPr="009A2D35">
        <w:rPr>
          <w:rFonts w:ascii="Garamond" w:hAnsi="Garamond"/>
          <w:b/>
          <w:sz w:val="28"/>
          <w:szCs w:val="28"/>
        </w:rPr>
        <w:t>Date :</w:t>
      </w:r>
      <w:r>
        <w:rPr>
          <w:rFonts w:ascii="Garamond" w:hAnsi="Garamond"/>
          <w:sz w:val="28"/>
          <w:szCs w:val="28"/>
        </w:rPr>
        <w:t xml:space="preserve"> 13 et 14 avril 2016</w:t>
      </w:r>
    </w:p>
    <w:p w:rsidR="007470E9" w:rsidRDefault="007470E9" w:rsidP="007470E9">
      <w:pPr>
        <w:spacing w:after="0"/>
        <w:jc w:val="both"/>
        <w:rPr>
          <w:rFonts w:ascii="Garamond" w:hAnsi="Garamond"/>
          <w:sz w:val="28"/>
          <w:szCs w:val="28"/>
        </w:rPr>
      </w:pPr>
      <w:r w:rsidRPr="007470E9">
        <w:rPr>
          <w:rFonts w:ascii="Garamond" w:hAnsi="Garamond"/>
          <w:b/>
          <w:sz w:val="28"/>
          <w:szCs w:val="28"/>
        </w:rPr>
        <w:t>Heure :</w:t>
      </w:r>
      <w:r w:rsidRPr="007470E9">
        <w:rPr>
          <w:rFonts w:ascii="Garamond" w:hAnsi="Garamond"/>
          <w:sz w:val="28"/>
          <w:szCs w:val="28"/>
        </w:rPr>
        <w:t xml:space="preserve">    </w:t>
      </w:r>
      <w:r>
        <w:rPr>
          <w:rFonts w:ascii="Garamond" w:hAnsi="Garamond"/>
          <w:sz w:val="28"/>
          <w:szCs w:val="28"/>
        </w:rPr>
        <w:tab/>
        <w:t xml:space="preserve">-    </w:t>
      </w:r>
      <w:r w:rsidRPr="007470E9">
        <w:rPr>
          <w:rFonts w:ascii="Garamond" w:hAnsi="Garamond"/>
          <w:sz w:val="28"/>
          <w:szCs w:val="28"/>
        </w:rPr>
        <w:t>10h00 à 15h00</w:t>
      </w:r>
      <w:r w:rsidRPr="007470E9">
        <w:rPr>
          <w:rFonts w:ascii="Garamond" w:hAnsi="Garamond"/>
          <w:sz w:val="28"/>
          <w:szCs w:val="28"/>
        </w:rPr>
        <w:tab/>
      </w:r>
    </w:p>
    <w:p w:rsidR="007470E9" w:rsidRPr="007470E9" w:rsidRDefault="007470E9" w:rsidP="007470E9">
      <w:pPr>
        <w:pStyle w:val="Paragraphedeliste"/>
        <w:numPr>
          <w:ilvl w:val="0"/>
          <w:numId w:val="18"/>
        </w:numPr>
        <w:spacing w:after="0"/>
        <w:jc w:val="both"/>
        <w:rPr>
          <w:rFonts w:ascii="Garamond" w:hAnsi="Garamond"/>
          <w:sz w:val="28"/>
          <w:szCs w:val="28"/>
        </w:rPr>
      </w:pPr>
      <w:r w:rsidRPr="007470E9">
        <w:rPr>
          <w:rFonts w:ascii="Garamond" w:hAnsi="Garamond"/>
          <w:sz w:val="28"/>
          <w:szCs w:val="28"/>
        </w:rPr>
        <w:t>9h30 à 13h00</w:t>
      </w:r>
    </w:p>
    <w:p w:rsidR="009A2D35" w:rsidRPr="000C7483" w:rsidRDefault="009A2D35" w:rsidP="009A2D35">
      <w:pPr>
        <w:spacing w:after="0"/>
        <w:jc w:val="both"/>
        <w:rPr>
          <w:rFonts w:ascii="Garamond" w:hAnsi="Garamond"/>
          <w:sz w:val="28"/>
          <w:szCs w:val="28"/>
        </w:rPr>
      </w:pPr>
      <w:r w:rsidRPr="009A2D35">
        <w:rPr>
          <w:rFonts w:ascii="Garamond" w:hAnsi="Garamond"/>
          <w:b/>
          <w:sz w:val="28"/>
          <w:szCs w:val="28"/>
        </w:rPr>
        <w:t>Lieu :</w:t>
      </w:r>
      <w:r>
        <w:rPr>
          <w:rFonts w:ascii="Garamond" w:hAnsi="Garamond"/>
          <w:sz w:val="28"/>
          <w:szCs w:val="28"/>
        </w:rPr>
        <w:t xml:space="preserve"> Lubumbashi, </w:t>
      </w:r>
      <w:r w:rsidRPr="002B7ECF">
        <w:rPr>
          <w:rFonts w:ascii="Garamond" w:hAnsi="Garamond"/>
          <w:sz w:val="28"/>
          <w:szCs w:val="28"/>
        </w:rPr>
        <w:t xml:space="preserve">Salle </w:t>
      </w:r>
      <w:r>
        <w:rPr>
          <w:rFonts w:ascii="Garamond" w:hAnsi="Garamond"/>
          <w:sz w:val="28"/>
          <w:szCs w:val="28"/>
        </w:rPr>
        <w:t>ARUPE/CARF</w:t>
      </w:r>
    </w:p>
    <w:p w:rsidR="009A2D35" w:rsidRPr="00F36287" w:rsidRDefault="009A2D35" w:rsidP="009A2D35">
      <w:pPr>
        <w:spacing w:after="0"/>
        <w:jc w:val="both"/>
        <w:rPr>
          <w:rFonts w:ascii="Garamond" w:hAnsi="Garamond"/>
          <w:sz w:val="28"/>
          <w:szCs w:val="28"/>
        </w:rPr>
      </w:pPr>
      <w:r w:rsidRPr="009A2D35">
        <w:rPr>
          <w:rFonts w:ascii="Garamond" w:hAnsi="Garamond"/>
          <w:b/>
          <w:sz w:val="28"/>
          <w:szCs w:val="28"/>
        </w:rPr>
        <w:t xml:space="preserve">Nombre participants : </w:t>
      </w:r>
      <w:r w:rsidR="00F36287" w:rsidRPr="00F36287">
        <w:rPr>
          <w:rFonts w:ascii="Garamond" w:hAnsi="Garamond"/>
          <w:sz w:val="28"/>
          <w:szCs w:val="28"/>
        </w:rPr>
        <w:t>Jour 1 : 46, Jour 2 : 42</w:t>
      </w:r>
    </w:p>
    <w:p w:rsidR="009A2D35" w:rsidRPr="001F60E9" w:rsidRDefault="009A2D35" w:rsidP="00B07A5D">
      <w:pPr>
        <w:pStyle w:val="Paragraphedeliste"/>
        <w:numPr>
          <w:ilvl w:val="0"/>
          <w:numId w:val="21"/>
        </w:numPr>
        <w:spacing w:after="0" w:line="240" w:lineRule="auto"/>
        <w:jc w:val="both"/>
        <w:rPr>
          <w:rFonts w:ascii="Garamond" w:hAnsi="Garamond"/>
          <w:sz w:val="28"/>
          <w:szCs w:val="28"/>
        </w:rPr>
      </w:pPr>
      <w:r w:rsidRPr="00B07A5D">
        <w:rPr>
          <w:rFonts w:ascii="Garamond" w:hAnsi="Garamond"/>
          <w:sz w:val="28"/>
          <w:szCs w:val="28"/>
        </w:rPr>
        <w:t>Entreprises Minières:</w:t>
      </w:r>
      <w:r w:rsidR="001F60E9">
        <w:rPr>
          <w:rFonts w:ascii="Garamond" w:hAnsi="Garamond"/>
          <w:sz w:val="28"/>
          <w:szCs w:val="28"/>
        </w:rPr>
        <w:t xml:space="preserve"> </w:t>
      </w:r>
      <w:r w:rsidR="001F60E9" w:rsidRPr="001F60E9">
        <w:rPr>
          <w:rFonts w:ascii="Garamond" w:hAnsi="Garamond"/>
          <w:sz w:val="28"/>
          <w:szCs w:val="28"/>
        </w:rPr>
        <w:t>Jour 1 : 16 ; Jour 2 : 12</w:t>
      </w:r>
    </w:p>
    <w:p w:rsidR="009A2D35" w:rsidRPr="001F60E9" w:rsidRDefault="009A2D35" w:rsidP="001F60E9">
      <w:pPr>
        <w:pStyle w:val="Paragraphedeliste"/>
        <w:numPr>
          <w:ilvl w:val="0"/>
          <w:numId w:val="21"/>
        </w:numPr>
        <w:rPr>
          <w:rFonts w:ascii="Garamond" w:hAnsi="Garamond"/>
          <w:sz w:val="28"/>
          <w:szCs w:val="28"/>
        </w:rPr>
      </w:pPr>
      <w:r w:rsidRPr="001F60E9">
        <w:rPr>
          <w:rFonts w:ascii="Garamond" w:hAnsi="Garamond"/>
          <w:sz w:val="28"/>
          <w:szCs w:val="28"/>
        </w:rPr>
        <w:t xml:space="preserve">Agences en douane : </w:t>
      </w:r>
      <w:r w:rsidR="001F60E9" w:rsidRPr="001F60E9">
        <w:rPr>
          <w:rFonts w:ascii="Garamond" w:hAnsi="Garamond"/>
          <w:sz w:val="28"/>
          <w:szCs w:val="28"/>
        </w:rPr>
        <w:t>Jour 1 : 9 ; Jour 2 : 10</w:t>
      </w:r>
    </w:p>
    <w:p w:rsidR="009A2D35" w:rsidRPr="001F60E9" w:rsidRDefault="009A2D35" w:rsidP="001F60E9">
      <w:pPr>
        <w:pStyle w:val="Paragraphedeliste"/>
        <w:numPr>
          <w:ilvl w:val="0"/>
          <w:numId w:val="21"/>
        </w:numPr>
        <w:rPr>
          <w:rFonts w:ascii="Garamond" w:hAnsi="Garamond"/>
          <w:sz w:val="28"/>
          <w:szCs w:val="28"/>
        </w:rPr>
      </w:pPr>
      <w:r w:rsidRPr="001F60E9">
        <w:rPr>
          <w:rFonts w:ascii="Garamond" w:hAnsi="Garamond"/>
          <w:sz w:val="28"/>
          <w:szCs w:val="28"/>
        </w:rPr>
        <w:t xml:space="preserve">Organisations de la Société Civile : </w:t>
      </w:r>
      <w:r w:rsidR="001F60E9" w:rsidRPr="001F60E9">
        <w:rPr>
          <w:rFonts w:ascii="Garamond" w:hAnsi="Garamond"/>
          <w:sz w:val="28"/>
          <w:szCs w:val="28"/>
        </w:rPr>
        <w:t>Jour 1 : 6 ; Jour 2 : 6</w:t>
      </w:r>
    </w:p>
    <w:p w:rsidR="009A2D35" w:rsidRPr="001F60E9" w:rsidRDefault="009A2D35" w:rsidP="001F60E9">
      <w:pPr>
        <w:pStyle w:val="Paragraphedeliste"/>
        <w:numPr>
          <w:ilvl w:val="0"/>
          <w:numId w:val="21"/>
        </w:numPr>
        <w:rPr>
          <w:rFonts w:ascii="Garamond" w:hAnsi="Garamond"/>
          <w:sz w:val="28"/>
          <w:szCs w:val="28"/>
        </w:rPr>
      </w:pPr>
      <w:r w:rsidRPr="001F60E9">
        <w:rPr>
          <w:rFonts w:ascii="Garamond" w:hAnsi="Garamond"/>
          <w:sz w:val="28"/>
          <w:szCs w:val="28"/>
        </w:rPr>
        <w:t>DGDA :</w:t>
      </w:r>
      <w:r w:rsidR="001F60E9" w:rsidRPr="001F60E9">
        <w:t xml:space="preserve"> </w:t>
      </w:r>
      <w:r w:rsidR="001F60E9">
        <w:rPr>
          <w:rFonts w:ascii="Garamond" w:hAnsi="Garamond"/>
          <w:sz w:val="28"/>
          <w:szCs w:val="28"/>
        </w:rPr>
        <w:t>Jour 1 : 4</w:t>
      </w:r>
      <w:r w:rsidR="001F60E9" w:rsidRPr="001F60E9">
        <w:rPr>
          <w:rFonts w:ascii="Garamond" w:hAnsi="Garamond"/>
          <w:sz w:val="28"/>
          <w:szCs w:val="28"/>
        </w:rPr>
        <w:t xml:space="preserve"> ; Jour 2 : </w:t>
      </w:r>
      <w:r w:rsidR="001F60E9">
        <w:rPr>
          <w:rFonts w:ascii="Garamond" w:hAnsi="Garamond"/>
          <w:sz w:val="28"/>
          <w:szCs w:val="28"/>
        </w:rPr>
        <w:t>5</w:t>
      </w:r>
    </w:p>
    <w:p w:rsidR="009A2D35" w:rsidRPr="00B07A5D" w:rsidRDefault="009A2D35" w:rsidP="00B07A5D">
      <w:pPr>
        <w:pStyle w:val="Paragraphedeliste"/>
        <w:numPr>
          <w:ilvl w:val="0"/>
          <w:numId w:val="21"/>
        </w:numPr>
        <w:spacing w:after="0" w:line="240" w:lineRule="auto"/>
        <w:jc w:val="both"/>
        <w:rPr>
          <w:rFonts w:ascii="Garamond" w:hAnsi="Garamond"/>
          <w:sz w:val="28"/>
          <w:szCs w:val="28"/>
        </w:rPr>
      </w:pPr>
      <w:r w:rsidRPr="00B07A5D">
        <w:rPr>
          <w:rFonts w:ascii="Garamond" w:hAnsi="Garamond"/>
          <w:sz w:val="28"/>
          <w:szCs w:val="28"/>
        </w:rPr>
        <w:t>Autres Régies Financières :</w:t>
      </w:r>
      <w:r w:rsidR="001F60E9">
        <w:rPr>
          <w:rFonts w:ascii="Garamond" w:hAnsi="Garamond"/>
          <w:sz w:val="28"/>
          <w:szCs w:val="28"/>
        </w:rPr>
        <w:t xml:space="preserve"> Jour 1 : 3 ; Jour 2 : 2</w:t>
      </w:r>
    </w:p>
    <w:p w:rsidR="009A2D35" w:rsidRPr="00B07A5D" w:rsidRDefault="009A2D35" w:rsidP="00B07A5D">
      <w:pPr>
        <w:pStyle w:val="Paragraphedeliste"/>
        <w:numPr>
          <w:ilvl w:val="0"/>
          <w:numId w:val="21"/>
        </w:numPr>
        <w:spacing w:after="0" w:line="240" w:lineRule="auto"/>
        <w:jc w:val="both"/>
        <w:rPr>
          <w:rFonts w:ascii="Garamond" w:hAnsi="Garamond"/>
          <w:sz w:val="28"/>
          <w:szCs w:val="28"/>
        </w:rPr>
      </w:pPr>
      <w:r w:rsidRPr="00B07A5D">
        <w:rPr>
          <w:rFonts w:ascii="Garamond" w:hAnsi="Garamond"/>
          <w:sz w:val="28"/>
          <w:szCs w:val="28"/>
        </w:rPr>
        <w:t>Secrétariat Technique de l’ITIE-RDC </w:t>
      </w:r>
      <w:r w:rsidR="001F60E9" w:rsidRPr="00B07A5D">
        <w:rPr>
          <w:rFonts w:ascii="Garamond" w:hAnsi="Garamond"/>
          <w:sz w:val="28"/>
          <w:szCs w:val="28"/>
        </w:rPr>
        <w:t>:</w:t>
      </w:r>
      <w:r w:rsidR="001F60E9">
        <w:rPr>
          <w:rFonts w:ascii="Garamond" w:hAnsi="Garamond"/>
          <w:sz w:val="28"/>
          <w:szCs w:val="28"/>
        </w:rPr>
        <w:t xml:space="preserve"> Jour 1 : 8, Jour 2 : 7</w:t>
      </w:r>
    </w:p>
    <w:p w:rsidR="009A2D35" w:rsidRPr="009A2D35" w:rsidRDefault="009A2D35" w:rsidP="009A2D35">
      <w:pPr>
        <w:spacing w:after="0"/>
        <w:jc w:val="both"/>
        <w:rPr>
          <w:rFonts w:ascii="Garamond" w:hAnsi="Garamond"/>
          <w:b/>
          <w:sz w:val="28"/>
          <w:szCs w:val="28"/>
        </w:rPr>
      </w:pPr>
      <w:r w:rsidRPr="009A2D35">
        <w:rPr>
          <w:rFonts w:ascii="Garamond" w:hAnsi="Garamond"/>
          <w:b/>
          <w:sz w:val="28"/>
          <w:szCs w:val="28"/>
        </w:rPr>
        <w:t>Déroulement de la réunion :</w:t>
      </w:r>
    </w:p>
    <w:p w:rsidR="009A2D35" w:rsidRDefault="009A2D35" w:rsidP="009A2D35">
      <w:pPr>
        <w:spacing w:after="0"/>
        <w:jc w:val="both"/>
        <w:rPr>
          <w:rFonts w:ascii="Garamond" w:hAnsi="Garamond"/>
          <w:sz w:val="28"/>
          <w:szCs w:val="28"/>
        </w:rPr>
      </w:pPr>
      <w:r>
        <w:rPr>
          <w:rFonts w:ascii="Garamond" w:hAnsi="Garamond"/>
          <w:sz w:val="28"/>
          <w:szCs w:val="28"/>
        </w:rPr>
        <w:t xml:space="preserve">La réunion déroulée en deux </w:t>
      </w:r>
      <w:r w:rsidR="00B440DC">
        <w:rPr>
          <w:rFonts w:ascii="Garamond" w:hAnsi="Garamond"/>
          <w:sz w:val="28"/>
          <w:szCs w:val="28"/>
        </w:rPr>
        <w:t>séances</w:t>
      </w:r>
      <w:r>
        <w:rPr>
          <w:rFonts w:ascii="Garamond" w:hAnsi="Garamond"/>
          <w:sz w:val="28"/>
          <w:szCs w:val="28"/>
        </w:rPr>
        <w:t xml:space="preserve"> a connue</w:t>
      </w:r>
      <w:r w:rsidR="00B440DC">
        <w:rPr>
          <w:rFonts w:ascii="Garamond" w:hAnsi="Garamond"/>
          <w:sz w:val="28"/>
          <w:szCs w:val="28"/>
        </w:rPr>
        <w:t xml:space="preserve"> trois temps forts</w:t>
      </w:r>
      <w:r>
        <w:rPr>
          <w:rFonts w:ascii="Garamond" w:hAnsi="Garamond"/>
          <w:sz w:val="28"/>
          <w:szCs w:val="28"/>
        </w:rPr>
        <w:t> :</w:t>
      </w:r>
      <w:r w:rsidRPr="000C7483">
        <w:rPr>
          <w:rFonts w:ascii="Garamond" w:hAnsi="Garamond"/>
          <w:sz w:val="28"/>
          <w:szCs w:val="28"/>
        </w:rPr>
        <w:t xml:space="preserve"> </w:t>
      </w:r>
    </w:p>
    <w:p w:rsidR="00BE48A3" w:rsidRPr="00BE48A3" w:rsidRDefault="00BE48A3" w:rsidP="009A2D35">
      <w:pPr>
        <w:spacing w:after="0"/>
        <w:jc w:val="both"/>
        <w:rPr>
          <w:rFonts w:ascii="Garamond" w:hAnsi="Garamond"/>
          <w:sz w:val="16"/>
          <w:szCs w:val="28"/>
        </w:rPr>
      </w:pPr>
    </w:p>
    <w:p w:rsidR="009A2D35" w:rsidRPr="009A2D35" w:rsidRDefault="009A2D35" w:rsidP="009A2D35">
      <w:pPr>
        <w:spacing w:after="0"/>
        <w:jc w:val="both"/>
        <w:rPr>
          <w:rFonts w:ascii="Garamond" w:hAnsi="Garamond"/>
          <w:sz w:val="4"/>
          <w:szCs w:val="28"/>
        </w:rPr>
      </w:pPr>
    </w:p>
    <w:p w:rsidR="009A2D35" w:rsidRDefault="009A2D35" w:rsidP="009A2D35">
      <w:pPr>
        <w:pStyle w:val="Paragraphedeliste"/>
        <w:numPr>
          <w:ilvl w:val="0"/>
          <w:numId w:val="1"/>
        </w:numPr>
        <w:jc w:val="both"/>
        <w:rPr>
          <w:rFonts w:ascii="Garamond" w:hAnsi="Garamond"/>
          <w:sz w:val="28"/>
          <w:szCs w:val="28"/>
        </w:rPr>
      </w:pPr>
      <w:r>
        <w:rPr>
          <w:rFonts w:ascii="Garamond" w:hAnsi="Garamond"/>
          <w:sz w:val="28"/>
          <w:szCs w:val="28"/>
        </w:rPr>
        <w:t>Mot d’introduction du CN et Point d’information sur le processus ITIE ;</w:t>
      </w:r>
    </w:p>
    <w:p w:rsidR="004E3854" w:rsidRDefault="004E3854" w:rsidP="004E3854">
      <w:pPr>
        <w:pStyle w:val="Paragraphedeliste"/>
        <w:numPr>
          <w:ilvl w:val="0"/>
          <w:numId w:val="1"/>
        </w:numPr>
        <w:jc w:val="both"/>
        <w:rPr>
          <w:rFonts w:ascii="Garamond" w:hAnsi="Garamond"/>
          <w:sz w:val="28"/>
          <w:szCs w:val="28"/>
        </w:rPr>
      </w:pPr>
      <w:r w:rsidRPr="004E3854">
        <w:rPr>
          <w:rFonts w:ascii="Garamond" w:hAnsi="Garamond"/>
          <w:sz w:val="28"/>
          <w:szCs w:val="28"/>
        </w:rPr>
        <w:t>Principales sources des difficultés rencontrées lors de l’élaboration du Rapport ITIE-RDC 2014.</w:t>
      </w:r>
    </w:p>
    <w:p w:rsidR="009A2D35" w:rsidRDefault="00FD71BE" w:rsidP="003B46EC">
      <w:pPr>
        <w:pStyle w:val="Paragraphedeliste"/>
        <w:numPr>
          <w:ilvl w:val="0"/>
          <w:numId w:val="1"/>
        </w:numPr>
        <w:jc w:val="both"/>
        <w:rPr>
          <w:rFonts w:ascii="Garamond" w:hAnsi="Garamond"/>
          <w:sz w:val="28"/>
          <w:szCs w:val="28"/>
        </w:rPr>
      </w:pPr>
      <w:r w:rsidRPr="00B07A5D">
        <w:rPr>
          <w:rFonts w:ascii="Garamond" w:hAnsi="Garamond"/>
          <w:sz w:val="28"/>
          <w:szCs w:val="28"/>
        </w:rPr>
        <w:t xml:space="preserve">Propositions d’actions à mener </w:t>
      </w:r>
      <w:r w:rsidR="00B07A5D" w:rsidRPr="00B07A5D">
        <w:rPr>
          <w:rFonts w:ascii="Garamond" w:hAnsi="Garamond"/>
          <w:sz w:val="28"/>
          <w:szCs w:val="28"/>
        </w:rPr>
        <w:t xml:space="preserve">afin </w:t>
      </w:r>
      <w:r w:rsidR="00B07A5D">
        <w:rPr>
          <w:rFonts w:ascii="Garamond" w:hAnsi="Garamond"/>
          <w:sz w:val="28"/>
          <w:szCs w:val="28"/>
        </w:rPr>
        <w:t xml:space="preserve">de </w:t>
      </w:r>
      <w:r w:rsidR="00BE48A3">
        <w:rPr>
          <w:rFonts w:ascii="Garamond" w:hAnsi="Garamond"/>
          <w:sz w:val="28"/>
          <w:szCs w:val="28"/>
        </w:rPr>
        <w:t>remédier à</w:t>
      </w:r>
      <w:r w:rsidR="00B07A5D">
        <w:rPr>
          <w:rFonts w:ascii="Garamond" w:hAnsi="Garamond"/>
          <w:sz w:val="28"/>
          <w:szCs w:val="28"/>
        </w:rPr>
        <w:t xml:space="preserve"> ces </w:t>
      </w:r>
      <w:r w:rsidR="00BE48A3">
        <w:rPr>
          <w:rFonts w:ascii="Garamond" w:hAnsi="Garamond"/>
          <w:sz w:val="28"/>
          <w:szCs w:val="28"/>
        </w:rPr>
        <w:t>difficultés</w:t>
      </w:r>
      <w:r w:rsidR="00B07A5D" w:rsidRPr="00B07A5D">
        <w:rPr>
          <w:rFonts w:ascii="Garamond" w:hAnsi="Garamond"/>
          <w:sz w:val="28"/>
          <w:szCs w:val="28"/>
        </w:rPr>
        <w:t xml:space="preserve"> </w:t>
      </w:r>
      <w:r w:rsidR="00B07A5D">
        <w:rPr>
          <w:rFonts w:ascii="Garamond" w:hAnsi="Garamond"/>
          <w:sz w:val="28"/>
          <w:szCs w:val="28"/>
        </w:rPr>
        <w:t>l</w:t>
      </w:r>
      <w:r w:rsidR="00BE48A3">
        <w:rPr>
          <w:rFonts w:ascii="Garamond" w:hAnsi="Garamond"/>
          <w:sz w:val="28"/>
          <w:szCs w:val="28"/>
        </w:rPr>
        <w:t>or</w:t>
      </w:r>
      <w:r w:rsidR="00B07A5D" w:rsidRPr="00B07A5D">
        <w:rPr>
          <w:rFonts w:ascii="Garamond" w:hAnsi="Garamond"/>
          <w:sz w:val="28"/>
          <w:szCs w:val="28"/>
        </w:rPr>
        <w:t>s</w:t>
      </w:r>
      <w:r w:rsidR="00BE48A3">
        <w:rPr>
          <w:rFonts w:ascii="Garamond" w:hAnsi="Garamond"/>
          <w:sz w:val="28"/>
          <w:szCs w:val="28"/>
        </w:rPr>
        <w:t xml:space="preserve"> des</w:t>
      </w:r>
      <w:r w:rsidR="00B07A5D" w:rsidRPr="00B07A5D">
        <w:rPr>
          <w:rFonts w:ascii="Garamond" w:hAnsi="Garamond"/>
          <w:sz w:val="28"/>
          <w:szCs w:val="28"/>
        </w:rPr>
        <w:t xml:space="preserve"> prochains rapports ITIE </w:t>
      </w:r>
    </w:p>
    <w:p w:rsidR="00B07A5D" w:rsidRPr="00BE48A3" w:rsidRDefault="00B07A5D" w:rsidP="00B07A5D">
      <w:pPr>
        <w:pStyle w:val="Paragraphedeliste"/>
        <w:jc w:val="both"/>
        <w:rPr>
          <w:rFonts w:ascii="Garamond" w:hAnsi="Garamond"/>
          <w:sz w:val="14"/>
          <w:szCs w:val="28"/>
        </w:rPr>
      </w:pPr>
    </w:p>
    <w:p w:rsidR="009A2D35" w:rsidRPr="00786C89" w:rsidRDefault="00786C89" w:rsidP="00786C89">
      <w:pPr>
        <w:pStyle w:val="Paragraphedeliste"/>
        <w:numPr>
          <w:ilvl w:val="0"/>
          <w:numId w:val="11"/>
        </w:numPr>
        <w:jc w:val="both"/>
        <w:rPr>
          <w:rFonts w:ascii="Garamond" w:hAnsi="Garamond"/>
          <w:b/>
          <w:sz w:val="24"/>
          <w:szCs w:val="24"/>
        </w:rPr>
      </w:pPr>
      <w:r w:rsidRPr="00786C89">
        <w:rPr>
          <w:rFonts w:ascii="Garamond" w:hAnsi="Garamond"/>
          <w:b/>
          <w:sz w:val="24"/>
          <w:szCs w:val="24"/>
        </w:rPr>
        <w:t>MOT D’INTRODUCTION ET POINT D’INFORMATION SUR L’ITIE</w:t>
      </w:r>
    </w:p>
    <w:p w:rsidR="005C7601" w:rsidRPr="004E3854" w:rsidRDefault="005C7601" w:rsidP="005C7601">
      <w:pPr>
        <w:pStyle w:val="Paragraphedeliste"/>
        <w:ind w:left="426"/>
        <w:jc w:val="both"/>
        <w:rPr>
          <w:rFonts w:ascii="Garamond" w:hAnsi="Garamond"/>
          <w:b/>
          <w:sz w:val="2"/>
          <w:szCs w:val="28"/>
        </w:rPr>
      </w:pPr>
    </w:p>
    <w:p w:rsidR="005C7601" w:rsidRPr="005C7601" w:rsidRDefault="005C7601" w:rsidP="00836381">
      <w:pPr>
        <w:spacing w:line="240" w:lineRule="auto"/>
        <w:jc w:val="both"/>
        <w:rPr>
          <w:rFonts w:ascii="Garamond" w:hAnsi="Garamond"/>
          <w:sz w:val="28"/>
          <w:szCs w:val="28"/>
        </w:rPr>
      </w:pPr>
      <w:r>
        <w:rPr>
          <w:rFonts w:ascii="Garamond" w:hAnsi="Garamond"/>
          <w:sz w:val="28"/>
          <w:szCs w:val="28"/>
        </w:rPr>
        <w:t>Après</w:t>
      </w:r>
      <w:r w:rsidR="005617A5">
        <w:rPr>
          <w:rFonts w:ascii="Garamond" w:hAnsi="Garamond"/>
          <w:sz w:val="28"/>
          <w:szCs w:val="28"/>
        </w:rPr>
        <w:t xml:space="preserve"> </w:t>
      </w:r>
      <w:r w:rsidR="00BE48A3">
        <w:rPr>
          <w:rFonts w:ascii="Garamond" w:hAnsi="Garamond"/>
          <w:sz w:val="28"/>
          <w:szCs w:val="28"/>
        </w:rPr>
        <w:t>les</w:t>
      </w:r>
      <w:r>
        <w:rPr>
          <w:rFonts w:ascii="Garamond" w:hAnsi="Garamond"/>
          <w:sz w:val="28"/>
          <w:szCs w:val="28"/>
        </w:rPr>
        <w:t xml:space="preserve"> civilités, le Coordonnateur National de l’ITIE-RDC</w:t>
      </w:r>
      <w:r w:rsidR="005617A5">
        <w:rPr>
          <w:rFonts w:ascii="Garamond" w:hAnsi="Garamond"/>
          <w:sz w:val="28"/>
          <w:szCs w:val="28"/>
        </w:rPr>
        <w:t xml:space="preserve">, le Prof. Mack </w:t>
      </w:r>
      <w:proofErr w:type="spellStart"/>
      <w:r w:rsidR="005617A5">
        <w:rPr>
          <w:rFonts w:ascii="Garamond" w:hAnsi="Garamond"/>
          <w:sz w:val="28"/>
          <w:szCs w:val="28"/>
        </w:rPr>
        <w:t>Dumba</w:t>
      </w:r>
      <w:proofErr w:type="spellEnd"/>
      <w:r w:rsidR="005617A5">
        <w:rPr>
          <w:rFonts w:ascii="Garamond" w:hAnsi="Garamond"/>
          <w:sz w:val="28"/>
          <w:szCs w:val="28"/>
        </w:rPr>
        <w:t xml:space="preserve"> Jérémy,</w:t>
      </w:r>
      <w:r>
        <w:rPr>
          <w:rFonts w:ascii="Garamond" w:hAnsi="Garamond"/>
          <w:sz w:val="28"/>
          <w:szCs w:val="28"/>
        </w:rPr>
        <w:t xml:space="preserve"> a rappelé à l’intention des participants le contexte et  l’objet de cette réunion </w:t>
      </w:r>
      <w:r w:rsidR="005617A5">
        <w:rPr>
          <w:rFonts w:ascii="Garamond" w:hAnsi="Garamond"/>
          <w:sz w:val="28"/>
          <w:szCs w:val="28"/>
        </w:rPr>
        <w:t>qui fait</w:t>
      </w:r>
      <w:r w:rsidR="005617A5" w:rsidRPr="005617A5">
        <w:rPr>
          <w:rFonts w:ascii="Garamond" w:hAnsi="Garamond"/>
          <w:sz w:val="28"/>
          <w:szCs w:val="28"/>
        </w:rPr>
        <w:t xml:space="preserve"> suite</w:t>
      </w:r>
      <w:r w:rsidR="005617A5">
        <w:rPr>
          <w:rFonts w:ascii="Garamond" w:hAnsi="Garamond"/>
          <w:sz w:val="28"/>
          <w:szCs w:val="28"/>
        </w:rPr>
        <w:t xml:space="preserve"> à </w:t>
      </w:r>
      <w:r w:rsidR="005617A5" w:rsidRPr="005617A5">
        <w:rPr>
          <w:rFonts w:ascii="Garamond" w:hAnsi="Garamond"/>
          <w:sz w:val="28"/>
          <w:szCs w:val="28"/>
        </w:rPr>
        <w:t>l’Atelier sur l’évaluation des recommandations du Rapport ITIE-RDC 2014 tenu le mois précédent à Lubumbashi</w:t>
      </w:r>
      <w:r w:rsidR="005617A5">
        <w:rPr>
          <w:rFonts w:ascii="Garamond" w:hAnsi="Garamond"/>
          <w:sz w:val="28"/>
          <w:szCs w:val="28"/>
        </w:rPr>
        <w:t xml:space="preserve"> au cours de laquelle</w:t>
      </w:r>
      <w:r w:rsidR="005617A5" w:rsidRPr="005617A5">
        <w:rPr>
          <w:rFonts w:ascii="Garamond" w:hAnsi="Garamond"/>
          <w:sz w:val="28"/>
          <w:szCs w:val="28"/>
        </w:rPr>
        <w:t xml:space="preserve"> </w:t>
      </w:r>
      <w:r w:rsidR="005617A5">
        <w:rPr>
          <w:rFonts w:ascii="Garamond" w:hAnsi="Garamond"/>
          <w:sz w:val="28"/>
          <w:szCs w:val="28"/>
        </w:rPr>
        <w:t>les parties prenantes avaient</w:t>
      </w:r>
      <w:r w:rsidR="005617A5" w:rsidRPr="005617A5">
        <w:rPr>
          <w:rFonts w:ascii="Garamond" w:hAnsi="Garamond"/>
          <w:sz w:val="28"/>
          <w:szCs w:val="28"/>
        </w:rPr>
        <w:t>  proposé, comme action à entreprendre pour remédier aux défaillances constatées dans la préparation de la déclaration de la DGDA et des écarts qui e</w:t>
      </w:r>
      <w:r w:rsidR="00994C30">
        <w:rPr>
          <w:rFonts w:ascii="Garamond" w:hAnsi="Garamond"/>
          <w:sz w:val="28"/>
          <w:szCs w:val="28"/>
        </w:rPr>
        <w:t>n découlent, l’organisation  d’une réunion</w:t>
      </w:r>
      <w:r w:rsidR="005617A5" w:rsidRPr="005617A5">
        <w:rPr>
          <w:rFonts w:ascii="Garamond" w:hAnsi="Garamond"/>
          <w:sz w:val="28"/>
          <w:szCs w:val="28"/>
        </w:rPr>
        <w:t xml:space="preserve"> de travail regroupant les experts de la DGDA, ceux des agences en douane,  les délégués des entreprises minières ainsi que les experts de l’ITIE et quelques délégués de la Société Civile aux fins d’identifier les principales causes des écarts constatés entre la déclaration des sociétés minières et celle de la DGDA et de résoudre les questions relatives à la manière de déclarer de la DGDA</w:t>
      </w:r>
      <w:r w:rsidR="005617A5">
        <w:rPr>
          <w:rFonts w:ascii="Helvetica" w:hAnsi="Helvetica"/>
          <w:color w:val="000000"/>
          <w:sz w:val="30"/>
          <w:szCs w:val="30"/>
          <w:shd w:val="clear" w:color="auto" w:fill="FFFFFF"/>
        </w:rPr>
        <w:t xml:space="preserve">. </w:t>
      </w:r>
    </w:p>
    <w:p w:rsidR="00994C30" w:rsidRDefault="005C7601" w:rsidP="00836381">
      <w:pPr>
        <w:spacing w:line="240" w:lineRule="auto"/>
        <w:jc w:val="both"/>
        <w:rPr>
          <w:rFonts w:ascii="Garamond" w:hAnsi="Garamond"/>
          <w:sz w:val="28"/>
          <w:szCs w:val="28"/>
        </w:rPr>
      </w:pPr>
      <w:r>
        <w:rPr>
          <w:rFonts w:ascii="Garamond" w:hAnsi="Garamond"/>
          <w:sz w:val="28"/>
          <w:szCs w:val="28"/>
        </w:rPr>
        <w:t>Dans son mot d’introduction</w:t>
      </w:r>
      <w:r w:rsidR="009A2D35">
        <w:rPr>
          <w:rFonts w:ascii="Garamond" w:hAnsi="Garamond"/>
          <w:sz w:val="28"/>
          <w:szCs w:val="28"/>
        </w:rPr>
        <w:t>,</w:t>
      </w:r>
      <w:r w:rsidR="009A2D35" w:rsidRPr="000C7483">
        <w:rPr>
          <w:rFonts w:ascii="Garamond" w:hAnsi="Garamond"/>
          <w:sz w:val="28"/>
          <w:szCs w:val="28"/>
        </w:rPr>
        <w:t xml:space="preserve"> </w:t>
      </w:r>
      <w:r w:rsidR="005617A5">
        <w:rPr>
          <w:rFonts w:ascii="Garamond" w:hAnsi="Garamond"/>
          <w:sz w:val="28"/>
          <w:szCs w:val="28"/>
        </w:rPr>
        <w:t xml:space="preserve">le Prof. Mack </w:t>
      </w:r>
      <w:proofErr w:type="spellStart"/>
      <w:r w:rsidR="005617A5">
        <w:rPr>
          <w:rFonts w:ascii="Garamond" w:hAnsi="Garamond"/>
          <w:sz w:val="28"/>
          <w:szCs w:val="28"/>
        </w:rPr>
        <w:t>Dumba</w:t>
      </w:r>
      <w:proofErr w:type="spellEnd"/>
      <w:r w:rsidR="005617A5">
        <w:rPr>
          <w:rFonts w:ascii="Garamond" w:hAnsi="Garamond"/>
          <w:sz w:val="28"/>
          <w:szCs w:val="28"/>
        </w:rPr>
        <w:t xml:space="preserve"> Jérémy </w:t>
      </w:r>
      <w:r w:rsidR="009A2D35">
        <w:rPr>
          <w:rFonts w:ascii="Garamond" w:hAnsi="Garamond"/>
          <w:sz w:val="28"/>
          <w:szCs w:val="28"/>
        </w:rPr>
        <w:t xml:space="preserve">a </w:t>
      </w:r>
      <w:r w:rsidR="005617A5">
        <w:rPr>
          <w:rFonts w:ascii="Garamond" w:hAnsi="Garamond"/>
          <w:sz w:val="28"/>
          <w:szCs w:val="28"/>
        </w:rPr>
        <w:t xml:space="preserve">également </w:t>
      </w:r>
      <w:r w:rsidR="009A2D35">
        <w:rPr>
          <w:rFonts w:ascii="Garamond" w:hAnsi="Garamond"/>
          <w:sz w:val="28"/>
          <w:szCs w:val="28"/>
        </w:rPr>
        <w:t>relevé</w:t>
      </w:r>
      <w:r>
        <w:rPr>
          <w:rFonts w:ascii="Garamond" w:hAnsi="Garamond"/>
          <w:sz w:val="28"/>
          <w:szCs w:val="28"/>
        </w:rPr>
        <w:t xml:space="preserve"> </w:t>
      </w:r>
      <w:r w:rsidR="005617A5">
        <w:rPr>
          <w:rFonts w:ascii="Garamond" w:hAnsi="Garamond"/>
          <w:sz w:val="28"/>
          <w:szCs w:val="28"/>
        </w:rPr>
        <w:t xml:space="preserve">les avancées très significatives enregistrées par </w:t>
      </w:r>
      <w:r>
        <w:rPr>
          <w:rFonts w:ascii="Garamond" w:hAnsi="Garamond"/>
          <w:sz w:val="28"/>
          <w:szCs w:val="28"/>
        </w:rPr>
        <w:t xml:space="preserve">la République Démocratique du Congo </w:t>
      </w:r>
      <w:r w:rsidR="004E3854">
        <w:rPr>
          <w:rFonts w:ascii="Garamond" w:hAnsi="Garamond"/>
          <w:sz w:val="28"/>
          <w:szCs w:val="28"/>
        </w:rPr>
        <w:t>concernant</w:t>
      </w:r>
      <w:r>
        <w:rPr>
          <w:rFonts w:ascii="Garamond" w:hAnsi="Garamond"/>
          <w:sz w:val="28"/>
          <w:szCs w:val="28"/>
        </w:rPr>
        <w:t xml:space="preserve"> la transparence des revenus du secteur extractif</w:t>
      </w:r>
      <w:r w:rsidR="005617A5">
        <w:rPr>
          <w:rFonts w:ascii="Garamond" w:hAnsi="Garamond"/>
          <w:sz w:val="28"/>
          <w:szCs w:val="28"/>
        </w:rPr>
        <w:t xml:space="preserve">. </w:t>
      </w:r>
    </w:p>
    <w:p w:rsidR="005C7601" w:rsidRDefault="005617A5" w:rsidP="00836381">
      <w:pPr>
        <w:spacing w:line="240" w:lineRule="auto"/>
        <w:jc w:val="both"/>
        <w:rPr>
          <w:rFonts w:ascii="Garamond" w:hAnsi="Garamond"/>
          <w:sz w:val="28"/>
          <w:szCs w:val="28"/>
        </w:rPr>
      </w:pPr>
      <w:r>
        <w:rPr>
          <w:rFonts w:ascii="Garamond" w:hAnsi="Garamond"/>
          <w:sz w:val="28"/>
          <w:szCs w:val="28"/>
        </w:rPr>
        <w:lastRenderedPageBreak/>
        <w:t xml:space="preserve">Il a  par ailleurs déploré le fait   que </w:t>
      </w:r>
      <w:r w:rsidR="005C7601">
        <w:rPr>
          <w:rFonts w:ascii="Garamond" w:hAnsi="Garamond"/>
          <w:sz w:val="28"/>
          <w:szCs w:val="28"/>
        </w:rPr>
        <w:t>la RDC</w:t>
      </w:r>
      <w:r w:rsidR="00994C30">
        <w:rPr>
          <w:rFonts w:ascii="Garamond" w:hAnsi="Garamond"/>
          <w:sz w:val="28"/>
          <w:szCs w:val="28"/>
        </w:rPr>
        <w:t xml:space="preserve"> pour raison de sa législation actuelle</w:t>
      </w:r>
      <w:r w:rsidR="005C7601">
        <w:rPr>
          <w:rFonts w:ascii="Garamond" w:hAnsi="Garamond"/>
          <w:sz w:val="28"/>
          <w:szCs w:val="28"/>
        </w:rPr>
        <w:t xml:space="preserve"> ne soit pas à ce jour à mesure de divulguer la gestion des dépenses des recettes issues des ressources naturelles.</w:t>
      </w:r>
    </w:p>
    <w:p w:rsidR="004E3854" w:rsidRDefault="005617A5" w:rsidP="004E3854">
      <w:pPr>
        <w:jc w:val="both"/>
        <w:rPr>
          <w:rFonts w:ascii="Garamond" w:eastAsia="Calibri" w:hAnsi="Garamond" w:cs="Times New Roman"/>
          <w:sz w:val="28"/>
          <w:szCs w:val="28"/>
        </w:rPr>
      </w:pPr>
      <w:r>
        <w:rPr>
          <w:rFonts w:ascii="Garamond" w:hAnsi="Garamond"/>
          <w:sz w:val="28"/>
          <w:szCs w:val="28"/>
        </w:rPr>
        <w:t xml:space="preserve">Ensuite, un point d’information sur l’ITIE a été </w:t>
      </w:r>
      <w:r w:rsidR="004E3854">
        <w:rPr>
          <w:rFonts w:ascii="Garamond" w:hAnsi="Garamond"/>
          <w:sz w:val="28"/>
          <w:szCs w:val="28"/>
        </w:rPr>
        <w:t xml:space="preserve">donné </w:t>
      </w:r>
      <w:r>
        <w:rPr>
          <w:rFonts w:ascii="Garamond" w:hAnsi="Garamond"/>
          <w:sz w:val="28"/>
          <w:szCs w:val="28"/>
        </w:rPr>
        <w:t xml:space="preserve"> à l’attention </w:t>
      </w:r>
      <w:r w:rsidR="004E3854">
        <w:rPr>
          <w:rFonts w:ascii="Garamond" w:hAnsi="Garamond"/>
          <w:sz w:val="28"/>
          <w:szCs w:val="28"/>
        </w:rPr>
        <w:t>notamment</w:t>
      </w:r>
      <w:r w:rsidR="00994C30">
        <w:rPr>
          <w:rFonts w:ascii="Garamond" w:hAnsi="Garamond"/>
          <w:sz w:val="28"/>
          <w:szCs w:val="28"/>
        </w:rPr>
        <w:t xml:space="preserve"> des t</w:t>
      </w:r>
      <w:r>
        <w:rPr>
          <w:rFonts w:ascii="Garamond" w:hAnsi="Garamond"/>
          <w:sz w:val="28"/>
          <w:szCs w:val="28"/>
        </w:rPr>
        <w:t>ransitaires qui intègrent nouvellement le processus</w:t>
      </w:r>
      <w:r w:rsidR="004E3854">
        <w:rPr>
          <w:rFonts w:ascii="Garamond" w:hAnsi="Garamond"/>
          <w:sz w:val="28"/>
          <w:szCs w:val="28"/>
        </w:rPr>
        <w:t xml:space="preserve"> ITIE</w:t>
      </w:r>
      <w:r>
        <w:rPr>
          <w:rFonts w:ascii="Garamond" w:hAnsi="Garamond"/>
          <w:sz w:val="28"/>
          <w:szCs w:val="28"/>
        </w:rPr>
        <w:t xml:space="preserve">.  Lors de cette partie, </w:t>
      </w:r>
      <w:r w:rsidR="004E3854">
        <w:rPr>
          <w:rFonts w:ascii="Garamond" w:hAnsi="Garamond"/>
          <w:sz w:val="28"/>
          <w:szCs w:val="28"/>
        </w:rPr>
        <w:t>l’Expert Technique Jean-Jacques Kayembe</w:t>
      </w:r>
      <w:r>
        <w:rPr>
          <w:rFonts w:ascii="Garamond" w:hAnsi="Garamond"/>
          <w:sz w:val="28"/>
          <w:szCs w:val="28"/>
        </w:rPr>
        <w:t xml:space="preserve"> </w:t>
      </w:r>
      <w:r>
        <w:rPr>
          <w:rFonts w:ascii="Garamond" w:eastAsia="Calibri" w:hAnsi="Garamond" w:cs="Times New Roman"/>
          <w:sz w:val="28"/>
          <w:szCs w:val="28"/>
        </w:rPr>
        <w:t xml:space="preserve">est revenu sur le mécanisme d’élaboration des rapports ITIE. Il a </w:t>
      </w:r>
      <w:r w:rsidR="00994C30">
        <w:rPr>
          <w:rFonts w:ascii="Garamond" w:eastAsia="Calibri" w:hAnsi="Garamond" w:cs="Times New Roman"/>
          <w:sz w:val="28"/>
          <w:szCs w:val="28"/>
        </w:rPr>
        <w:t xml:space="preserve">entre autres </w:t>
      </w:r>
      <w:r>
        <w:rPr>
          <w:rFonts w:ascii="Garamond" w:eastAsia="Calibri" w:hAnsi="Garamond" w:cs="Times New Roman"/>
          <w:sz w:val="28"/>
          <w:szCs w:val="28"/>
        </w:rPr>
        <w:t xml:space="preserve">décrit ce processus en commençant par le cadrage c'est-à-dire la délimitation du périmètre des flux et des entreprises retenus pour un rapport ITIE portant sur un exercice donné. Il a, ensuite, expliqué comment la collecte des données est effectué et, a indiqué le niveau d’intervention des Agences en douane dans la chaîne de la collecte des données avant de souligner la responsabilité de ces dernières dans la qualité des déclarations relatives aux paiements à la douane que les entreprises minières déclarent à l’ITIE. </w:t>
      </w:r>
    </w:p>
    <w:p w:rsidR="00994C30" w:rsidRPr="00994C30" w:rsidRDefault="00994C30" w:rsidP="004E3854">
      <w:pPr>
        <w:jc w:val="both"/>
        <w:rPr>
          <w:rFonts w:ascii="Garamond" w:hAnsi="Garamond"/>
          <w:sz w:val="14"/>
          <w:szCs w:val="28"/>
        </w:rPr>
      </w:pPr>
    </w:p>
    <w:p w:rsidR="009A2D35" w:rsidRPr="00786C89" w:rsidRDefault="00786C89" w:rsidP="00786C89">
      <w:pPr>
        <w:pStyle w:val="Paragraphedeliste"/>
        <w:numPr>
          <w:ilvl w:val="0"/>
          <w:numId w:val="11"/>
        </w:numPr>
        <w:jc w:val="both"/>
        <w:rPr>
          <w:rFonts w:ascii="Garamond" w:hAnsi="Garamond"/>
          <w:b/>
          <w:sz w:val="24"/>
          <w:szCs w:val="24"/>
        </w:rPr>
      </w:pPr>
      <w:r w:rsidRPr="00786C89">
        <w:rPr>
          <w:rFonts w:ascii="Garamond" w:hAnsi="Garamond"/>
          <w:b/>
          <w:sz w:val="24"/>
          <w:szCs w:val="24"/>
        </w:rPr>
        <w:t>PRINCIPALES SOURCES DES DIFFICULTES RENCONTREES LORS DE L’ELABORATION DU RAPPORT ITIE-RDC 2014.</w:t>
      </w:r>
    </w:p>
    <w:p w:rsidR="009A2D35" w:rsidRPr="00ED4D0B" w:rsidRDefault="009A2D35" w:rsidP="009A2D35">
      <w:pPr>
        <w:pStyle w:val="Paragraphedeliste"/>
        <w:ind w:left="426"/>
        <w:jc w:val="both"/>
        <w:rPr>
          <w:rFonts w:ascii="Garamond" w:hAnsi="Garamond"/>
          <w:b/>
          <w:sz w:val="20"/>
          <w:szCs w:val="28"/>
        </w:rPr>
      </w:pPr>
    </w:p>
    <w:p w:rsidR="004E3854" w:rsidRDefault="004E3854" w:rsidP="004E3854">
      <w:pPr>
        <w:pStyle w:val="Paragraphedeliste"/>
        <w:ind w:left="0" w:hanging="11"/>
        <w:jc w:val="both"/>
        <w:rPr>
          <w:rFonts w:ascii="Garamond" w:hAnsi="Garamond"/>
          <w:sz w:val="28"/>
          <w:szCs w:val="28"/>
        </w:rPr>
      </w:pPr>
      <w:r>
        <w:rPr>
          <w:rFonts w:ascii="Garamond" w:hAnsi="Garamond"/>
          <w:sz w:val="28"/>
          <w:szCs w:val="28"/>
        </w:rPr>
        <w:t xml:space="preserve">Durant cette partie qui s’est </w:t>
      </w:r>
      <w:r w:rsidR="00786C89">
        <w:rPr>
          <w:rFonts w:ascii="Garamond" w:hAnsi="Garamond"/>
          <w:sz w:val="28"/>
          <w:szCs w:val="28"/>
        </w:rPr>
        <w:t>étendue</w:t>
      </w:r>
      <w:r>
        <w:rPr>
          <w:rFonts w:ascii="Garamond" w:hAnsi="Garamond"/>
          <w:sz w:val="28"/>
          <w:szCs w:val="28"/>
        </w:rPr>
        <w:t xml:space="preserve"> en deux séances</w:t>
      </w:r>
      <w:r w:rsidR="009A2D35">
        <w:rPr>
          <w:rFonts w:ascii="Garamond" w:hAnsi="Garamond"/>
          <w:sz w:val="28"/>
          <w:szCs w:val="28"/>
        </w:rPr>
        <w:t xml:space="preserve">, le Secrétariat Technique a présenté les principales </w:t>
      </w:r>
      <w:r>
        <w:rPr>
          <w:rFonts w:ascii="Garamond" w:hAnsi="Garamond"/>
          <w:sz w:val="28"/>
          <w:szCs w:val="28"/>
        </w:rPr>
        <w:t xml:space="preserve">sources des </w:t>
      </w:r>
      <w:r w:rsidR="009A2D35">
        <w:rPr>
          <w:rFonts w:ascii="Garamond" w:hAnsi="Garamond"/>
          <w:sz w:val="28"/>
          <w:szCs w:val="28"/>
        </w:rPr>
        <w:t>difficultés constatées lors de l’élaboration du précédent rapport ITIE. Il s’agit notamment de :</w:t>
      </w:r>
    </w:p>
    <w:p w:rsidR="004E3854" w:rsidRPr="004E3854" w:rsidRDefault="004E3854" w:rsidP="004E3854">
      <w:pPr>
        <w:pStyle w:val="Paragraphedeliste"/>
        <w:ind w:left="0" w:hanging="11"/>
        <w:jc w:val="both"/>
        <w:rPr>
          <w:rFonts w:ascii="Garamond" w:hAnsi="Garamond"/>
          <w:sz w:val="14"/>
          <w:szCs w:val="28"/>
        </w:rPr>
      </w:pPr>
    </w:p>
    <w:p w:rsidR="004E3854" w:rsidRPr="004E3854" w:rsidRDefault="004E3854" w:rsidP="004E3854">
      <w:pPr>
        <w:pStyle w:val="Paragraphedeliste"/>
        <w:numPr>
          <w:ilvl w:val="0"/>
          <w:numId w:val="8"/>
        </w:numPr>
        <w:jc w:val="both"/>
        <w:rPr>
          <w:rFonts w:ascii="Garamond" w:hAnsi="Garamond"/>
          <w:b/>
          <w:sz w:val="28"/>
          <w:szCs w:val="28"/>
        </w:rPr>
      </w:pPr>
      <w:r w:rsidRPr="004E3854">
        <w:rPr>
          <w:rFonts w:ascii="Garamond" w:hAnsi="Garamond"/>
          <w:b/>
          <w:sz w:val="28"/>
          <w:szCs w:val="28"/>
        </w:rPr>
        <w:t>Plusieurs cas de doublons expliqués essentiellement par une mauvaise manipulation du système d’information de la DGDA;</w:t>
      </w:r>
    </w:p>
    <w:p w:rsidR="004E3854" w:rsidRPr="004E3854" w:rsidRDefault="004E3854" w:rsidP="004E3854">
      <w:pPr>
        <w:spacing w:after="200" w:line="360" w:lineRule="auto"/>
        <w:ind w:left="284" w:hanging="142"/>
        <w:contextualSpacing/>
        <w:rPr>
          <w:rFonts w:ascii="Garamond" w:eastAsia="Calibri" w:hAnsi="Garamond" w:cs="Times New Roman"/>
          <w:sz w:val="20"/>
          <w:szCs w:val="20"/>
        </w:rPr>
      </w:pPr>
      <w:r w:rsidRPr="004E3854">
        <w:rPr>
          <w:rFonts w:ascii="Garamond" w:eastAsia="Calibri" w:hAnsi="Garamond" w:cs="Times New Roman"/>
          <w:sz w:val="20"/>
          <w:szCs w:val="20"/>
        </w:rPr>
        <w:t>Exemple: Résumé des doublons</w:t>
      </w:r>
    </w:p>
    <w:tbl>
      <w:tblPr>
        <w:tblW w:w="5140" w:type="pct"/>
        <w:jc w:val="center"/>
        <w:tblCellMar>
          <w:left w:w="70" w:type="dxa"/>
          <w:right w:w="70" w:type="dxa"/>
        </w:tblCellMar>
        <w:tblLook w:val="04A0" w:firstRow="1" w:lastRow="0" w:firstColumn="1" w:lastColumn="0" w:noHBand="0" w:noVBand="1"/>
      </w:tblPr>
      <w:tblGrid>
        <w:gridCol w:w="2668"/>
        <w:gridCol w:w="1562"/>
        <w:gridCol w:w="146"/>
        <w:gridCol w:w="1562"/>
        <w:gridCol w:w="1303"/>
        <w:gridCol w:w="986"/>
        <w:gridCol w:w="1099"/>
      </w:tblGrid>
      <w:tr w:rsidR="004E3854" w:rsidRPr="004E3854" w:rsidTr="001B5C28">
        <w:trPr>
          <w:trHeight w:val="240"/>
          <w:jc w:val="center"/>
        </w:trPr>
        <w:tc>
          <w:tcPr>
            <w:tcW w:w="1441" w:type="pct"/>
            <w:tcBorders>
              <w:top w:val="nil"/>
              <w:left w:val="nil"/>
              <w:bottom w:val="single" w:sz="12" w:space="0" w:color="4F81BD"/>
              <w:right w:val="nil"/>
            </w:tcBorders>
            <w:shd w:val="clear" w:color="000000" w:fill="244061"/>
            <w:vAlign w:val="center"/>
            <w:hideMark/>
          </w:tcPr>
          <w:p w:rsidR="004E3854" w:rsidRPr="004E3854" w:rsidRDefault="004E3854" w:rsidP="004E3854">
            <w:pPr>
              <w:spacing w:after="0" w:line="276" w:lineRule="auto"/>
              <w:rPr>
                <w:rFonts w:ascii="Calibri" w:eastAsia="Calibri" w:hAnsi="Calibri" w:cs="Times New Roman"/>
                <w:b/>
                <w:color w:val="FFFFFF"/>
                <w:sz w:val="18"/>
                <w:szCs w:val="18"/>
                <w:lang w:eastAsia="fr-FR"/>
              </w:rPr>
            </w:pPr>
            <w:r w:rsidRPr="004E3854">
              <w:rPr>
                <w:rFonts w:ascii="Calibri" w:eastAsia="Calibri" w:hAnsi="Calibri" w:cs="Times New Roman"/>
                <w:b/>
                <w:color w:val="FFFFFF"/>
                <w:sz w:val="18"/>
                <w:szCs w:val="18"/>
                <w:lang w:eastAsia="fr-FR"/>
              </w:rPr>
              <w:t>Sociétés</w:t>
            </w:r>
          </w:p>
        </w:tc>
        <w:tc>
          <w:tcPr>
            <w:tcW w:w="848" w:type="pct"/>
            <w:tcBorders>
              <w:top w:val="nil"/>
              <w:left w:val="nil"/>
              <w:bottom w:val="single" w:sz="12" w:space="0" w:color="4F81BD"/>
              <w:right w:val="nil"/>
            </w:tcBorders>
            <w:shd w:val="clear" w:color="000000" w:fill="244061"/>
            <w:vAlign w:val="center"/>
            <w:hideMark/>
          </w:tcPr>
          <w:p w:rsidR="004E3854" w:rsidRPr="004E3854" w:rsidRDefault="004E3854" w:rsidP="004E3854">
            <w:pPr>
              <w:spacing w:after="0" w:line="276" w:lineRule="auto"/>
              <w:jc w:val="center"/>
              <w:rPr>
                <w:rFonts w:ascii="Calibri" w:eastAsia="Calibri" w:hAnsi="Calibri" w:cs="Times New Roman"/>
                <w:b/>
                <w:color w:val="FFFFFF"/>
                <w:sz w:val="18"/>
                <w:szCs w:val="18"/>
                <w:lang w:eastAsia="fr-FR"/>
              </w:rPr>
            </w:pPr>
            <w:r w:rsidRPr="004E3854">
              <w:rPr>
                <w:rFonts w:ascii="Calibri" w:eastAsia="Calibri" w:hAnsi="Calibri" w:cs="Times New Roman"/>
                <w:b/>
                <w:color w:val="FFFFFF"/>
                <w:sz w:val="18"/>
                <w:szCs w:val="18"/>
                <w:lang w:eastAsia="fr-FR"/>
              </w:rPr>
              <w:t>Total</w:t>
            </w:r>
          </w:p>
        </w:tc>
        <w:tc>
          <w:tcPr>
            <w:tcW w:w="77" w:type="pct"/>
            <w:tcBorders>
              <w:top w:val="nil"/>
              <w:left w:val="nil"/>
              <w:bottom w:val="nil"/>
              <w:right w:val="nil"/>
            </w:tcBorders>
            <w:shd w:val="clear" w:color="auto" w:fill="auto"/>
            <w:noWrap/>
            <w:vAlign w:val="bottom"/>
            <w:hideMark/>
          </w:tcPr>
          <w:p w:rsidR="004E3854" w:rsidRPr="004E3854" w:rsidRDefault="004E3854" w:rsidP="004E3854">
            <w:pPr>
              <w:spacing w:after="0" w:line="276" w:lineRule="auto"/>
              <w:jc w:val="center"/>
              <w:rPr>
                <w:rFonts w:ascii="Calibri" w:eastAsia="Calibri" w:hAnsi="Calibri" w:cs="Times New Roman"/>
                <w:b/>
                <w:color w:val="FFFFFF"/>
                <w:sz w:val="18"/>
                <w:szCs w:val="18"/>
                <w:lang w:eastAsia="fr-FR"/>
              </w:rPr>
            </w:pPr>
          </w:p>
        </w:tc>
        <w:tc>
          <w:tcPr>
            <w:tcW w:w="848" w:type="pct"/>
            <w:tcBorders>
              <w:top w:val="nil"/>
              <w:left w:val="nil"/>
              <w:bottom w:val="single" w:sz="12" w:space="0" w:color="4F81BD"/>
              <w:right w:val="nil"/>
            </w:tcBorders>
            <w:shd w:val="clear" w:color="000000" w:fill="244061"/>
            <w:vAlign w:val="center"/>
            <w:hideMark/>
          </w:tcPr>
          <w:p w:rsidR="004E3854" w:rsidRPr="004E3854" w:rsidRDefault="004E3854" w:rsidP="004E3854">
            <w:pPr>
              <w:spacing w:after="0" w:line="276" w:lineRule="auto"/>
              <w:jc w:val="center"/>
              <w:rPr>
                <w:rFonts w:ascii="Calibri" w:eastAsia="Calibri" w:hAnsi="Calibri" w:cs="Times New Roman"/>
                <w:b/>
                <w:color w:val="FFFFFF"/>
                <w:sz w:val="18"/>
                <w:szCs w:val="18"/>
                <w:lang w:eastAsia="fr-FR"/>
              </w:rPr>
            </w:pPr>
            <w:r w:rsidRPr="004E3854">
              <w:rPr>
                <w:rFonts w:ascii="Calibri" w:eastAsia="Calibri" w:hAnsi="Calibri" w:cs="Times New Roman"/>
                <w:b/>
                <w:color w:val="FFFFFF"/>
                <w:sz w:val="18"/>
                <w:szCs w:val="18"/>
                <w:lang w:eastAsia="fr-FR"/>
              </w:rPr>
              <w:t>DTI</w:t>
            </w:r>
          </w:p>
        </w:tc>
        <w:tc>
          <w:tcPr>
            <w:tcW w:w="709" w:type="pct"/>
            <w:tcBorders>
              <w:top w:val="nil"/>
              <w:left w:val="nil"/>
              <w:bottom w:val="single" w:sz="12" w:space="0" w:color="4F81BD"/>
              <w:right w:val="nil"/>
            </w:tcBorders>
            <w:shd w:val="clear" w:color="000000" w:fill="244061"/>
            <w:vAlign w:val="center"/>
            <w:hideMark/>
          </w:tcPr>
          <w:p w:rsidR="004E3854" w:rsidRPr="004E3854" w:rsidRDefault="004E3854" w:rsidP="004E3854">
            <w:pPr>
              <w:spacing w:after="0" w:line="276" w:lineRule="auto"/>
              <w:jc w:val="center"/>
              <w:rPr>
                <w:rFonts w:ascii="Calibri" w:eastAsia="Calibri" w:hAnsi="Calibri" w:cs="Times New Roman"/>
                <w:b/>
                <w:color w:val="FFFFFF"/>
                <w:sz w:val="18"/>
                <w:szCs w:val="18"/>
                <w:lang w:eastAsia="fr-FR"/>
              </w:rPr>
            </w:pPr>
            <w:r w:rsidRPr="004E3854">
              <w:rPr>
                <w:rFonts w:ascii="Calibri" w:eastAsia="Calibri" w:hAnsi="Calibri" w:cs="Times New Roman"/>
                <w:b/>
                <w:color w:val="FFFFFF"/>
                <w:sz w:val="18"/>
                <w:szCs w:val="18"/>
                <w:lang w:eastAsia="fr-FR"/>
              </w:rPr>
              <w:t>IBP</w:t>
            </w:r>
          </w:p>
        </w:tc>
        <w:tc>
          <w:tcPr>
            <w:tcW w:w="539" w:type="pct"/>
            <w:tcBorders>
              <w:top w:val="nil"/>
              <w:left w:val="nil"/>
              <w:bottom w:val="single" w:sz="12" w:space="0" w:color="4F81BD"/>
              <w:right w:val="nil"/>
            </w:tcBorders>
            <w:shd w:val="clear" w:color="000000" w:fill="244061"/>
            <w:vAlign w:val="center"/>
            <w:hideMark/>
          </w:tcPr>
          <w:p w:rsidR="004E3854" w:rsidRPr="004E3854" w:rsidRDefault="004E3854" w:rsidP="004E3854">
            <w:pPr>
              <w:spacing w:after="0" w:line="276" w:lineRule="auto"/>
              <w:jc w:val="center"/>
              <w:rPr>
                <w:rFonts w:ascii="Calibri" w:eastAsia="Calibri" w:hAnsi="Calibri" w:cs="Times New Roman"/>
                <w:b/>
                <w:color w:val="FFFFFF"/>
                <w:sz w:val="18"/>
                <w:szCs w:val="18"/>
                <w:lang w:eastAsia="fr-FR"/>
              </w:rPr>
            </w:pPr>
            <w:r w:rsidRPr="004E3854">
              <w:rPr>
                <w:rFonts w:ascii="Calibri" w:eastAsia="Calibri" w:hAnsi="Calibri" w:cs="Times New Roman"/>
                <w:b/>
                <w:color w:val="FFFFFF"/>
                <w:sz w:val="18"/>
                <w:szCs w:val="18"/>
                <w:lang w:eastAsia="fr-FR"/>
              </w:rPr>
              <w:t>DTE</w:t>
            </w:r>
          </w:p>
        </w:tc>
        <w:tc>
          <w:tcPr>
            <w:tcW w:w="539" w:type="pct"/>
            <w:tcBorders>
              <w:top w:val="nil"/>
              <w:left w:val="nil"/>
              <w:bottom w:val="single" w:sz="12" w:space="0" w:color="4F81BD"/>
              <w:right w:val="nil"/>
            </w:tcBorders>
            <w:shd w:val="clear" w:color="000000" w:fill="244061"/>
            <w:vAlign w:val="center"/>
            <w:hideMark/>
          </w:tcPr>
          <w:p w:rsidR="004E3854" w:rsidRPr="004E3854" w:rsidRDefault="004E3854" w:rsidP="004E3854">
            <w:pPr>
              <w:spacing w:after="0" w:line="276" w:lineRule="auto"/>
              <w:jc w:val="center"/>
              <w:rPr>
                <w:rFonts w:ascii="Calibri" w:eastAsia="Calibri" w:hAnsi="Calibri" w:cs="Times New Roman"/>
                <w:b/>
                <w:color w:val="FFFFFF"/>
                <w:sz w:val="18"/>
                <w:szCs w:val="18"/>
                <w:lang w:eastAsia="fr-FR"/>
              </w:rPr>
            </w:pPr>
            <w:r w:rsidRPr="004E3854">
              <w:rPr>
                <w:rFonts w:ascii="Calibri" w:eastAsia="Calibri" w:hAnsi="Calibri" w:cs="Times New Roman"/>
                <w:b/>
                <w:color w:val="FFFFFF"/>
                <w:sz w:val="18"/>
                <w:szCs w:val="18"/>
                <w:lang w:eastAsia="fr-FR"/>
              </w:rPr>
              <w:t>Autres</w:t>
            </w:r>
          </w:p>
        </w:tc>
      </w:tr>
      <w:tr w:rsidR="004E3854" w:rsidRPr="004E3854" w:rsidTr="001B5C28">
        <w:trPr>
          <w:trHeight w:val="240"/>
          <w:jc w:val="center"/>
        </w:trPr>
        <w:tc>
          <w:tcPr>
            <w:tcW w:w="1441" w:type="pct"/>
            <w:tcBorders>
              <w:top w:val="nil"/>
              <w:left w:val="nil"/>
              <w:bottom w:val="nil"/>
              <w:right w:val="nil"/>
            </w:tcBorders>
            <w:shd w:val="clear" w:color="000000" w:fill="B8CCE4"/>
            <w:noWrap/>
            <w:vAlign w:val="center"/>
            <w:hideMark/>
          </w:tcPr>
          <w:p w:rsidR="004E3854" w:rsidRPr="004E3854" w:rsidRDefault="004E3854" w:rsidP="004E3854">
            <w:pPr>
              <w:spacing w:after="0" w:line="276" w:lineRule="auto"/>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 xml:space="preserve"> KCC </w:t>
            </w:r>
          </w:p>
        </w:tc>
        <w:tc>
          <w:tcPr>
            <w:tcW w:w="848" w:type="pct"/>
            <w:tcBorders>
              <w:top w:val="nil"/>
              <w:left w:val="nil"/>
              <w:bottom w:val="nil"/>
              <w:right w:val="nil"/>
            </w:tcBorders>
            <w:shd w:val="clear" w:color="000000" w:fill="B8CCE4"/>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(78 894 699)</w:t>
            </w:r>
          </w:p>
        </w:tc>
        <w:tc>
          <w:tcPr>
            <w:tcW w:w="77" w:type="pct"/>
            <w:tcBorders>
              <w:top w:val="nil"/>
              <w:left w:val="nil"/>
              <w:bottom w:val="nil"/>
              <w:right w:val="nil"/>
            </w:tcBorders>
            <w:shd w:val="clear" w:color="auto" w:fill="auto"/>
            <w:noWrap/>
            <w:vAlign w:val="bottom"/>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p>
        </w:tc>
        <w:tc>
          <w:tcPr>
            <w:tcW w:w="848" w:type="pct"/>
            <w:tcBorders>
              <w:top w:val="nil"/>
              <w:left w:val="nil"/>
              <w:bottom w:val="nil"/>
              <w:right w:val="nil"/>
            </w:tcBorders>
            <w:shd w:val="clear" w:color="000000" w:fill="B8CCE4"/>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(78 894 699)</w:t>
            </w:r>
          </w:p>
        </w:tc>
        <w:tc>
          <w:tcPr>
            <w:tcW w:w="709" w:type="pct"/>
            <w:tcBorders>
              <w:top w:val="nil"/>
              <w:left w:val="nil"/>
              <w:bottom w:val="nil"/>
              <w:right w:val="nil"/>
            </w:tcBorders>
            <w:shd w:val="clear" w:color="000000" w:fill="B8CCE4"/>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w:t>
            </w:r>
          </w:p>
        </w:tc>
        <w:tc>
          <w:tcPr>
            <w:tcW w:w="539" w:type="pct"/>
            <w:tcBorders>
              <w:top w:val="nil"/>
              <w:left w:val="nil"/>
              <w:bottom w:val="nil"/>
              <w:right w:val="nil"/>
            </w:tcBorders>
            <w:shd w:val="clear" w:color="000000" w:fill="B8CCE4"/>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w:t>
            </w:r>
          </w:p>
        </w:tc>
        <w:tc>
          <w:tcPr>
            <w:tcW w:w="539" w:type="pct"/>
            <w:tcBorders>
              <w:top w:val="nil"/>
              <w:left w:val="nil"/>
              <w:bottom w:val="nil"/>
              <w:right w:val="nil"/>
            </w:tcBorders>
            <w:shd w:val="clear" w:color="000000" w:fill="B8CCE4"/>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w:t>
            </w:r>
          </w:p>
        </w:tc>
      </w:tr>
      <w:tr w:rsidR="004E3854" w:rsidRPr="004E3854" w:rsidTr="001B5C28">
        <w:trPr>
          <w:trHeight w:val="225"/>
          <w:jc w:val="center"/>
        </w:trPr>
        <w:tc>
          <w:tcPr>
            <w:tcW w:w="1441" w:type="pct"/>
            <w:tcBorders>
              <w:top w:val="nil"/>
              <w:left w:val="nil"/>
              <w:bottom w:val="nil"/>
              <w:right w:val="nil"/>
            </w:tcBorders>
            <w:shd w:val="clear" w:color="auto" w:fill="auto"/>
            <w:noWrap/>
            <w:vAlign w:val="center"/>
            <w:hideMark/>
          </w:tcPr>
          <w:p w:rsidR="004E3854" w:rsidRPr="004E3854" w:rsidRDefault="004E3854" w:rsidP="004E3854">
            <w:pPr>
              <w:spacing w:after="0" w:line="276" w:lineRule="auto"/>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 xml:space="preserve"> MUMI </w:t>
            </w:r>
          </w:p>
        </w:tc>
        <w:tc>
          <w:tcPr>
            <w:tcW w:w="848" w:type="pct"/>
            <w:tcBorders>
              <w:top w:val="nil"/>
              <w:left w:val="nil"/>
              <w:bottom w:val="nil"/>
              <w:right w:val="nil"/>
            </w:tcBorders>
            <w:shd w:val="clear" w:color="auto" w:fill="auto"/>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(22 669 479)</w:t>
            </w:r>
          </w:p>
        </w:tc>
        <w:tc>
          <w:tcPr>
            <w:tcW w:w="77" w:type="pct"/>
            <w:tcBorders>
              <w:top w:val="nil"/>
              <w:left w:val="nil"/>
              <w:bottom w:val="nil"/>
              <w:right w:val="nil"/>
            </w:tcBorders>
            <w:shd w:val="clear" w:color="auto" w:fill="auto"/>
            <w:noWrap/>
            <w:vAlign w:val="bottom"/>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p>
        </w:tc>
        <w:tc>
          <w:tcPr>
            <w:tcW w:w="848" w:type="pct"/>
            <w:tcBorders>
              <w:top w:val="nil"/>
              <w:left w:val="nil"/>
              <w:bottom w:val="nil"/>
              <w:right w:val="nil"/>
            </w:tcBorders>
            <w:shd w:val="clear" w:color="auto" w:fill="auto"/>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(22 669 479)</w:t>
            </w:r>
          </w:p>
        </w:tc>
        <w:tc>
          <w:tcPr>
            <w:tcW w:w="709" w:type="pct"/>
            <w:tcBorders>
              <w:top w:val="nil"/>
              <w:left w:val="nil"/>
              <w:bottom w:val="nil"/>
              <w:right w:val="nil"/>
            </w:tcBorders>
            <w:shd w:val="clear" w:color="auto" w:fill="auto"/>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w:t>
            </w:r>
          </w:p>
        </w:tc>
        <w:tc>
          <w:tcPr>
            <w:tcW w:w="539" w:type="pct"/>
            <w:tcBorders>
              <w:top w:val="nil"/>
              <w:left w:val="nil"/>
              <w:bottom w:val="nil"/>
              <w:right w:val="nil"/>
            </w:tcBorders>
            <w:shd w:val="clear" w:color="auto" w:fill="auto"/>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w:t>
            </w:r>
          </w:p>
        </w:tc>
        <w:tc>
          <w:tcPr>
            <w:tcW w:w="539" w:type="pct"/>
            <w:tcBorders>
              <w:top w:val="nil"/>
              <w:left w:val="nil"/>
              <w:bottom w:val="nil"/>
              <w:right w:val="nil"/>
            </w:tcBorders>
            <w:shd w:val="clear" w:color="auto" w:fill="auto"/>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w:t>
            </w:r>
          </w:p>
        </w:tc>
      </w:tr>
      <w:tr w:rsidR="004E3854" w:rsidRPr="004E3854" w:rsidTr="001B5C28">
        <w:trPr>
          <w:trHeight w:val="225"/>
          <w:jc w:val="center"/>
        </w:trPr>
        <w:tc>
          <w:tcPr>
            <w:tcW w:w="1441" w:type="pct"/>
            <w:tcBorders>
              <w:top w:val="nil"/>
              <w:left w:val="nil"/>
              <w:bottom w:val="nil"/>
              <w:right w:val="nil"/>
            </w:tcBorders>
            <w:shd w:val="clear" w:color="000000" w:fill="B8CCE4"/>
            <w:noWrap/>
            <w:vAlign w:val="center"/>
            <w:hideMark/>
          </w:tcPr>
          <w:p w:rsidR="004E3854" w:rsidRPr="004E3854" w:rsidRDefault="004E3854" w:rsidP="004E3854">
            <w:pPr>
              <w:spacing w:after="0" w:line="276" w:lineRule="auto"/>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 xml:space="preserve"> CHEMAF SARL</w:t>
            </w:r>
          </w:p>
        </w:tc>
        <w:tc>
          <w:tcPr>
            <w:tcW w:w="848" w:type="pct"/>
            <w:tcBorders>
              <w:top w:val="nil"/>
              <w:left w:val="nil"/>
              <w:bottom w:val="nil"/>
              <w:right w:val="nil"/>
            </w:tcBorders>
            <w:shd w:val="clear" w:color="000000" w:fill="B8CCE4"/>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(20 371 807)</w:t>
            </w:r>
          </w:p>
        </w:tc>
        <w:tc>
          <w:tcPr>
            <w:tcW w:w="77" w:type="pct"/>
            <w:tcBorders>
              <w:top w:val="nil"/>
              <w:left w:val="nil"/>
              <w:bottom w:val="nil"/>
              <w:right w:val="nil"/>
            </w:tcBorders>
            <w:shd w:val="clear" w:color="auto" w:fill="auto"/>
            <w:noWrap/>
            <w:vAlign w:val="bottom"/>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p>
        </w:tc>
        <w:tc>
          <w:tcPr>
            <w:tcW w:w="848" w:type="pct"/>
            <w:tcBorders>
              <w:top w:val="nil"/>
              <w:left w:val="nil"/>
              <w:bottom w:val="nil"/>
              <w:right w:val="nil"/>
            </w:tcBorders>
            <w:shd w:val="clear" w:color="000000" w:fill="B8CCE4"/>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(20 371 807)</w:t>
            </w:r>
          </w:p>
        </w:tc>
        <w:tc>
          <w:tcPr>
            <w:tcW w:w="709" w:type="pct"/>
            <w:tcBorders>
              <w:top w:val="nil"/>
              <w:left w:val="nil"/>
              <w:bottom w:val="nil"/>
              <w:right w:val="nil"/>
            </w:tcBorders>
            <w:shd w:val="clear" w:color="000000" w:fill="B8CCE4"/>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w:t>
            </w:r>
          </w:p>
        </w:tc>
        <w:tc>
          <w:tcPr>
            <w:tcW w:w="539" w:type="pct"/>
            <w:tcBorders>
              <w:top w:val="nil"/>
              <w:left w:val="nil"/>
              <w:bottom w:val="nil"/>
              <w:right w:val="nil"/>
            </w:tcBorders>
            <w:shd w:val="clear" w:color="000000" w:fill="B8CCE4"/>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w:t>
            </w:r>
          </w:p>
        </w:tc>
        <w:tc>
          <w:tcPr>
            <w:tcW w:w="539" w:type="pct"/>
            <w:tcBorders>
              <w:top w:val="nil"/>
              <w:left w:val="nil"/>
              <w:bottom w:val="nil"/>
              <w:right w:val="nil"/>
            </w:tcBorders>
            <w:shd w:val="clear" w:color="000000" w:fill="B8CCE4"/>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w:t>
            </w:r>
          </w:p>
        </w:tc>
      </w:tr>
      <w:tr w:rsidR="004E3854" w:rsidRPr="004E3854" w:rsidTr="001B5C28">
        <w:trPr>
          <w:trHeight w:val="225"/>
          <w:jc w:val="center"/>
        </w:trPr>
        <w:tc>
          <w:tcPr>
            <w:tcW w:w="1441" w:type="pct"/>
            <w:tcBorders>
              <w:top w:val="nil"/>
              <w:left w:val="nil"/>
              <w:bottom w:val="nil"/>
              <w:right w:val="nil"/>
            </w:tcBorders>
            <w:shd w:val="clear" w:color="auto" w:fill="auto"/>
            <w:noWrap/>
            <w:vAlign w:val="center"/>
            <w:hideMark/>
          </w:tcPr>
          <w:p w:rsidR="004E3854" w:rsidRPr="004E3854" w:rsidRDefault="004E3854" w:rsidP="004E3854">
            <w:pPr>
              <w:spacing w:after="0" w:line="276" w:lineRule="auto"/>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 xml:space="preserve"> TFM </w:t>
            </w:r>
          </w:p>
        </w:tc>
        <w:tc>
          <w:tcPr>
            <w:tcW w:w="848" w:type="pct"/>
            <w:tcBorders>
              <w:top w:val="nil"/>
              <w:left w:val="nil"/>
              <w:bottom w:val="nil"/>
              <w:right w:val="nil"/>
            </w:tcBorders>
            <w:shd w:val="clear" w:color="auto" w:fill="auto"/>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(2 253 558)</w:t>
            </w:r>
          </w:p>
        </w:tc>
        <w:tc>
          <w:tcPr>
            <w:tcW w:w="77" w:type="pct"/>
            <w:tcBorders>
              <w:top w:val="nil"/>
              <w:left w:val="nil"/>
              <w:bottom w:val="nil"/>
              <w:right w:val="nil"/>
            </w:tcBorders>
            <w:shd w:val="clear" w:color="auto" w:fill="auto"/>
            <w:noWrap/>
            <w:vAlign w:val="bottom"/>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p>
        </w:tc>
        <w:tc>
          <w:tcPr>
            <w:tcW w:w="848" w:type="pct"/>
            <w:tcBorders>
              <w:top w:val="nil"/>
              <w:left w:val="nil"/>
              <w:bottom w:val="nil"/>
              <w:right w:val="nil"/>
            </w:tcBorders>
            <w:shd w:val="clear" w:color="auto" w:fill="auto"/>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(2 253 558)</w:t>
            </w:r>
          </w:p>
        </w:tc>
        <w:tc>
          <w:tcPr>
            <w:tcW w:w="709" w:type="pct"/>
            <w:tcBorders>
              <w:top w:val="nil"/>
              <w:left w:val="nil"/>
              <w:bottom w:val="nil"/>
              <w:right w:val="nil"/>
            </w:tcBorders>
            <w:shd w:val="clear" w:color="auto" w:fill="auto"/>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w:t>
            </w:r>
          </w:p>
        </w:tc>
        <w:tc>
          <w:tcPr>
            <w:tcW w:w="539" w:type="pct"/>
            <w:tcBorders>
              <w:top w:val="nil"/>
              <w:left w:val="nil"/>
              <w:bottom w:val="nil"/>
              <w:right w:val="nil"/>
            </w:tcBorders>
            <w:shd w:val="clear" w:color="auto" w:fill="auto"/>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w:t>
            </w:r>
          </w:p>
        </w:tc>
        <w:tc>
          <w:tcPr>
            <w:tcW w:w="539" w:type="pct"/>
            <w:tcBorders>
              <w:top w:val="nil"/>
              <w:left w:val="nil"/>
              <w:bottom w:val="nil"/>
              <w:right w:val="nil"/>
            </w:tcBorders>
            <w:shd w:val="clear" w:color="auto" w:fill="auto"/>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w:t>
            </w:r>
          </w:p>
        </w:tc>
      </w:tr>
      <w:tr w:rsidR="004E3854" w:rsidRPr="004E3854" w:rsidTr="001B5C28">
        <w:trPr>
          <w:trHeight w:val="225"/>
          <w:jc w:val="center"/>
        </w:trPr>
        <w:tc>
          <w:tcPr>
            <w:tcW w:w="1441" w:type="pct"/>
            <w:tcBorders>
              <w:top w:val="nil"/>
              <w:left w:val="nil"/>
              <w:bottom w:val="nil"/>
              <w:right w:val="nil"/>
            </w:tcBorders>
            <w:shd w:val="clear" w:color="000000" w:fill="B8CCE4"/>
            <w:noWrap/>
            <w:vAlign w:val="center"/>
            <w:hideMark/>
          </w:tcPr>
          <w:p w:rsidR="004E3854" w:rsidRPr="004E3854" w:rsidRDefault="004E3854" w:rsidP="004E3854">
            <w:pPr>
              <w:spacing w:after="0" w:line="276" w:lineRule="auto"/>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 xml:space="preserve"> GROUPE BAZANO SPRL </w:t>
            </w:r>
          </w:p>
        </w:tc>
        <w:tc>
          <w:tcPr>
            <w:tcW w:w="848" w:type="pct"/>
            <w:tcBorders>
              <w:top w:val="nil"/>
              <w:left w:val="nil"/>
              <w:bottom w:val="nil"/>
              <w:right w:val="nil"/>
            </w:tcBorders>
            <w:shd w:val="clear" w:color="000000" w:fill="B8CCE4"/>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(1 212 901)</w:t>
            </w:r>
          </w:p>
        </w:tc>
        <w:tc>
          <w:tcPr>
            <w:tcW w:w="77" w:type="pct"/>
            <w:tcBorders>
              <w:top w:val="nil"/>
              <w:left w:val="nil"/>
              <w:bottom w:val="nil"/>
              <w:right w:val="nil"/>
            </w:tcBorders>
            <w:shd w:val="clear" w:color="auto" w:fill="auto"/>
            <w:noWrap/>
            <w:vAlign w:val="bottom"/>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p>
        </w:tc>
        <w:tc>
          <w:tcPr>
            <w:tcW w:w="848" w:type="pct"/>
            <w:tcBorders>
              <w:top w:val="nil"/>
              <w:left w:val="nil"/>
              <w:bottom w:val="nil"/>
              <w:right w:val="nil"/>
            </w:tcBorders>
            <w:shd w:val="clear" w:color="000000" w:fill="B8CCE4"/>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w:t>
            </w:r>
          </w:p>
        </w:tc>
        <w:tc>
          <w:tcPr>
            <w:tcW w:w="709" w:type="pct"/>
            <w:tcBorders>
              <w:top w:val="nil"/>
              <w:left w:val="nil"/>
              <w:bottom w:val="nil"/>
              <w:right w:val="nil"/>
            </w:tcBorders>
            <w:shd w:val="clear" w:color="000000" w:fill="B8CCE4"/>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(1 212 901)</w:t>
            </w:r>
          </w:p>
        </w:tc>
        <w:tc>
          <w:tcPr>
            <w:tcW w:w="539" w:type="pct"/>
            <w:tcBorders>
              <w:top w:val="nil"/>
              <w:left w:val="nil"/>
              <w:bottom w:val="nil"/>
              <w:right w:val="nil"/>
            </w:tcBorders>
            <w:shd w:val="clear" w:color="000000" w:fill="B8CCE4"/>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w:t>
            </w:r>
          </w:p>
        </w:tc>
        <w:tc>
          <w:tcPr>
            <w:tcW w:w="539" w:type="pct"/>
            <w:tcBorders>
              <w:top w:val="nil"/>
              <w:left w:val="nil"/>
              <w:bottom w:val="nil"/>
              <w:right w:val="nil"/>
            </w:tcBorders>
            <w:shd w:val="clear" w:color="000000" w:fill="B8CCE4"/>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w:t>
            </w:r>
          </w:p>
        </w:tc>
      </w:tr>
      <w:tr w:rsidR="004E3854" w:rsidRPr="004E3854" w:rsidTr="001B5C28">
        <w:trPr>
          <w:trHeight w:val="225"/>
          <w:jc w:val="center"/>
        </w:trPr>
        <w:tc>
          <w:tcPr>
            <w:tcW w:w="1441" w:type="pct"/>
            <w:tcBorders>
              <w:top w:val="nil"/>
              <w:left w:val="nil"/>
              <w:bottom w:val="nil"/>
              <w:right w:val="nil"/>
            </w:tcBorders>
            <w:shd w:val="clear" w:color="auto" w:fill="auto"/>
            <w:noWrap/>
            <w:vAlign w:val="center"/>
            <w:hideMark/>
          </w:tcPr>
          <w:p w:rsidR="004E3854" w:rsidRPr="004E3854" w:rsidRDefault="004E3854" w:rsidP="004E3854">
            <w:pPr>
              <w:spacing w:after="0" w:line="276" w:lineRule="auto"/>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 xml:space="preserve"> MAGMA MINERAL SARL </w:t>
            </w:r>
          </w:p>
        </w:tc>
        <w:tc>
          <w:tcPr>
            <w:tcW w:w="848" w:type="pct"/>
            <w:tcBorders>
              <w:top w:val="nil"/>
              <w:left w:val="nil"/>
              <w:bottom w:val="nil"/>
              <w:right w:val="nil"/>
            </w:tcBorders>
            <w:shd w:val="clear" w:color="auto" w:fill="auto"/>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(99 780)</w:t>
            </w:r>
          </w:p>
        </w:tc>
        <w:tc>
          <w:tcPr>
            <w:tcW w:w="77" w:type="pct"/>
            <w:tcBorders>
              <w:top w:val="nil"/>
              <w:left w:val="nil"/>
              <w:bottom w:val="nil"/>
              <w:right w:val="nil"/>
            </w:tcBorders>
            <w:shd w:val="clear" w:color="auto" w:fill="auto"/>
            <w:noWrap/>
            <w:vAlign w:val="bottom"/>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p>
        </w:tc>
        <w:tc>
          <w:tcPr>
            <w:tcW w:w="848" w:type="pct"/>
            <w:tcBorders>
              <w:top w:val="nil"/>
              <w:left w:val="nil"/>
              <w:bottom w:val="nil"/>
              <w:right w:val="nil"/>
            </w:tcBorders>
            <w:shd w:val="clear" w:color="auto" w:fill="auto"/>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(99 780)</w:t>
            </w:r>
          </w:p>
        </w:tc>
        <w:tc>
          <w:tcPr>
            <w:tcW w:w="709" w:type="pct"/>
            <w:tcBorders>
              <w:top w:val="nil"/>
              <w:left w:val="nil"/>
              <w:bottom w:val="nil"/>
              <w:right w:val="nil"/>
            </w:tcBorders>
            <w:shd w:val="clear" w:color="auto" w:fill="auto"/>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w:t>
            </w:r>
          </w:p>
        </w:tc>
        <w:tc>
          <w:tcPr>
            <w:tcW w:w="539" w:type="pct"/>
            <w:tcBorders>
              <w:top w:val="nil"/>
              <w:left w:val="nil"/>
              <w:bottom w:val="nil"/>
              <w:right w:val="nil"/>
            </w:tcBorders>
            <w:shd w:val="clear" w:color="auto" w:fill="auto"/>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w:t>
            </w:r>
          </w:p>
        </w:tc>
        <w:tc>
          <w:tcPr>
            <w:tcW w:w="539" w:type="pct"/>
            <w:tcBorders>
              <w:top w:val="nil"/>
              <w:left w:val="nil"/>
              <w:bottom w:val="nil"/>
              <w:right w:val="nil"/>
            </w:tcBorders>
            <w:shd w:val="clear" w:color="auto" w:fill="auto"/>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w:t>
            </w:r>
          </w:p>
        </w:tc>
      </w:tr>
      <w:tr w:rsidR="004E3854" w:rsidRPr="004E3854" w:rsidTr="001B5C28">
        <w:trPr>
          <w:trHeight w:val="225"/>
          <w:jc w:val="center"/>
        </w:trPr>
        <w:tc>
          <w:tcPr>
            <w:tcW w:w="1441" w:type="pct"/>
            <w:tcBorders>
              <w:top w:val="nil"/>
              <w:left w:val="nil"/>
              <w:bottom w:val="nil"/>
              <w:right w:val="nil"/>
            </w:tcBorders>
            <w:shd w:val="clear" w:color="000000" w:fill="B8CCE4"/>
            <w:noWrap/>
            <w:vAlign w:val="center"/>
            <w:hideMark/>
          </w:tcPr>
          <w:p w:rsidR="004E3854" w:rsidRPr="004E3854" w:rsidRDefault="004E3854" w:rsidP="004E3854">
            <w:pPr>
              <w:spacing w:after="0" w:line="276" w:lineRule="auto"/>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 xml:space="preserve"> STL </w:t>
            </w:r>
          </w:p>
        </w:tc>
        <w:tc>
          <w:tcPr>
            <w:tcW w:w="848" w:type="pct"/>
            <w:tcBorders>
              <w:top w:val="nil"/>
              <w:left w:val="nil"/>
              <w:bottom w:val="nil"/>
              <w:right w:val="nil"/>
            </w:tcBorders>
            <w:shd w:val="clear" w:color="000000" w:fill="B8CCE4"/>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(84 358)</w:t>
            </w:r>
          </w:p>
        </w:tc>
        <w:tc>
          <w:tcPr>
            <w:tcW w:w="77" w:type="pct"/>
            <w:tcBorders>
              <w:top w:val="nil"/>
              <w:left w:val="nil"/>
              <w:bottom w:val="nil"/>
              <w:right w:val="nil"/>
            </w:tcBorders>
            <w:shd w:val="clear" w:color="auto" w:fill="auto"/>
            <w:noWrap/>
            <w:vAlign w:val="bottom"/>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p>
        </w:tc>
        <w:tc>
          <w:tcPr>
            <w:tcW w:w="848" w:type="pct"/>
            <w:tcBorders>
              <w:top w:val="nil"/>
              <w:left w:val="nil"/>
              <w:bottom w:val="nil"/>
              <w:right w:val="nil"/>
            </w:tcBorders>
            <w:shd w:val="clear" w:color="000000" w:fill="B8CCE4"/>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(84 358)</w:t>
            </w:r>
          </w:p>
        </w:tc>
        <w:tc>
          <w:tcPr>
            <w:tcW w:w="709" w:type="pct"/>
            <w:tcBorders>
              <w:top w:val="nil"/>
              <w:left w:val="nil"/>
              <w:bottom w:val="nil"/>
              <w:right w:val="nil"/>
            </w:tcBorders>
            <w:shd w:val="clear" w:color="000000" w:fill="B8CCE4"/>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w:t>
            </w:r>
          </w:p>
        </w:tc>
        <w:tc>
          <w:tcPr>
            <w:tcW w:w="539" w:type="pct"/>
            <w:tcBorders>
              <w:top w:val="nil"/>
              <w:left w:val="nil"/>
              <w:bottom w:val="nil"/>
              <w:right w:val="nil"/>
            </w:tcBorders>
            <w:shd w:val="clear" w:color="000000" w:fill="B8CCE4"/>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w:t>
            </w:r>
          </w:p>
        </w:tc>
        <w:tc>
          <w:tcPr>
            <w:tcW w:w="539" w:type="pct"/>
            <w:tcBorders>
              <w:top w:val="nil"/>
              <w:left w:val="nil"/>
              <w:bottom w:val="nil"/>
              <w:right w:val="nil"/>
            </w:tcBorders>
            <w:shd w:val="clear" w:color="000000" w:fill="B8CCE4"/>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w:t>
            </w:r>
          </w:p>
        </w:tc>
      </w:tr>
      <w:tr w:rsidR="004E3854" w:rsidRPr="004E3854" w:rsidTr="001B5C28">
        <w:trPr>
          <w:trHeight w:val="240"/>
          <w:jc w:val="center"/>
        </w:trPr>
        <w:tc>
          <w:tcPr>
            <w:tcW w:w="1441" w:type="pct"/>
            <w:tcBorders>
              <w:top w:val="nil"/>
              <w:left w:val="nil"/>
              <w:bottom w:val="nil"/>
              <w:right w:val="nil"/>
            </w:tcBorders>
            <w:shd w:val="clear" w:color="auto" w:fill="auto"/>
            <w:noWrap/>
            <w:vAlign w:val="center"/>
            <w:hideMark/>
          </w:tcPr>
          <w:p w:rsidR="004E3854" w:rsidRPr="004E3854" w:rsidRDefault="004E3854" w:rsidP="004E3854">
            <w:pPr>
              <w:spacing w:after="0" w:line="276" w:lineRule="auto"/>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Autres</w:t>
            </w:r>
          </w:p>
        </w:tc>
        <w:tc>
          <w:tcPr>
            <w:tcW w:w="848" w:type="pct"/>
            <w:tcBorders>
              <w:top w:val="nil"/>
              <w:left w:val="nil"/>
              <w:bottom w:val="nil"/>
              <w:right w:val="nil"/>
            </w:tcBorders>
            <w:shd w:val="clear" w:color="auto" w:fill="auto"/>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(165 811)</w:t>
            </w:r>
          </w:p>
        </w:tc>
        <w:tc>
          <w:tcPr>
            <w:tcW w:w="77" w:type="pct"/>
            <w:tcBorders>
              <w:top w:val="nil"/>
              <w:left w:val="nil"/>
              <w:bottom w:val="nil"/>
              <w:right w:val="nil"/>
            </w:tcBorders>
            <w:shd w:val="clear" w:color="auto" w:fill="auto"/>
            <w:noWrap/>
            <w:vAlign w:val="bottom"/>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p>
        </w:tc>
        <w:tc>
          <w:tcPr>
            <w:tcW w:w="848" w:type="pct"/>
            <w:tcBorders>
              <w:top w:val="nil"/>
              <w:left w:val="nil"/>
              <w:bottom w:val="nil"/>
              <w:right w:val="nil"/>
            </w:tcBorders>
            <w:shd w:val="clear" w:color="auto" w:fill="auto"/>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(28 016)</w:t>
            </w:r>
          </w:p>
        </w:tc>
        <w:tc>
          <w:tcPr>
            <w:tcW w:w="709" w:type="pct"/>
            <w:tcBorders>
              <w:top w:val="nil"/>
              <w:left w:val="nil"/>
              <w:bottom w:val="nil"/>
              <w:right w:val="nil"/>
            </w:tcBorders>
            <w:shd w:val="clear" w:color="auto" w:fill="auto"/>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w:t>
            </w:r>
          </w:p>
        </w:tc>
        <w:tc>
          <w:tcPr>
            <w:tcW w:w="539" w:type="pct"/>
            <w:tcBorders>
              <w:top w:val="nil"/>
              <w:left w:val="nil"/>
              <w:bottom w:val="nil"/>
              <w:right w:val="nil"/>
            </w:tcBorders>
            <w:shd w:val="clear" w:color="auto" w:fill="auto"/>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(82 327)</w:t>
            </w:r>
          </w:p>
        </w:tc>
        <w:tc>
          <w:tcPr>
            <w:tcW w:w="539" w:type="pct"/>
            <w:tcBorders>
              <w:top w:val="nil"/>
              <w:left w:val="nil"/>
              <w:bottom w:val="nil"/>
              <w:right w:val="nil"/>
            </w:tcBorders>
            <w:shd w:val="clear" w:color="auto" w:fill="auto"/>
            <w:noWrap/>
            <w:vAlign w:val="center"/>
            <w:hideMark/>
          </w:tcPr>
          <w:p w:rsidR="004E3854" w:rsidRPr="004E3854" w:rsidRDefault="004E3854" w:rsidP="004E3854">
            <w:pPr>
              <w:spacing w:after="0" w:line="276" w:lineRule="auto"/>
              <w:jc w:val="right"/>
              <w:rPr>
                <w:rFonts w:ascii="Calibri" w:eastAsia="Calibri" w:hAnsi="Calibri" w:cs="Times New Roman"/>
                <w:bCs/>
                <w:sz w:val="18"/>
                <w:szCs w:val="18"/>
                <w:lang w:eastAsia="fr-FR"/>
              </w:rPr>
            </w:pPr>
            <w:r w:rsidRPr="004E3854">
              <w:rPr>
                <w:rFonts w:ascii="Calibri" w:eastAsia="Calibri" w:hAnsi="Calibri" w:cs="Times New Roman"/>
                <w:sz w:val="18"/>
                <w:szCs w:val="18"/>
                <w:lang w:eastAsia="fr-FR"/>
              </w:rPr>
              <w:t>(55 468)</w:t>
            </w:r>
          </w:p>
        </w:tc>
      </w:tr>
      <w:tr w:rsidR="004E3854" w:rsidRPr="004E3854" w:rsidTr="001B5C28">
        <w:trPr>
          <w:trHeight w:val="240"/>
          <w:jc w:val="center"/>
        </w:trPr>
        <w:tc>
          <w:tcPr>
            <w:tcW w:w="1441" w:type="pct"/>
            <w:tcBorders>
              <w:top w:val="single" w:sz="12" w:space="0" w:color="4F81BD"/>
              <w:left w:val="nil"/>
              <w:bottom w:val="nil"/>
              <w:right w:val="nil"/>
            </w:tcBorders>
            <w:shd w:val="clear" w:color="000000" w:fill="BFBFBF"/>
            <w:noWrap/>
            <w:vAlign w:val="center"/>
            <w:hideMark/>
          </w:tcPr>
          <w:p w:rsidR="004E3854" w:rsidRPr="004E3854" w:rsidRDefault="004E3854" w:rsidP="004E3854">
            <w:pPr>
              <w:spacing w:after="0" w:line="276" w:lineRule="auto"/>
              <w:rPr>
                <w:rFonts w:ascii="Calibri" w:eastAsia="Calibri" w:hAnsi="Calibri" w:cs="Times New Roman"/>
                <w:b/>
                <w:color w:val="000000"/>
                <w:sz w:val="18"/>
                <w:szCs w:val="18"/>
                <w:lang w:eastAsia="fr-FR"/>
              </w:rPr>
            </w:pPr>
            <w:r w:rsidRPr="004E3854">
              <w:rPr>
                <w:rFonts w:ascii="Calibri" w:eastAsia="Calibri" w:hAnsi="Calibri" w:cs="Times New Roman"/>
                <w:b/>
                <w:color w:val="000000"/>
                <w:sz w:val="18"/>
                <w:szCs w:val="18"/>
                <w:lang w:eastAsia="fr-FR"/>
              </w:rPr>
              <w:t>Total</w:t>
            </w:r>
          </w:p>
        </w:tc>
        <w:tc>
          <w:tcPr>
            <w:tcW w:w="848" w:type="pct"/>
            <w:tcBorders>
              <w:top w:val="single" w:sz="12" w:space="0" w:color="4F81BD"/>
              <w:left w:val="nil"/>
              <w:bottom w:val="nil"/>
              <w:right w:val="nil"/>
            </w:tcBorders>
            <w:shd w:val="clear" w:color="000000" w:fill="BFBFBF"/>
            <w:noWrap/>
            <w:vAlign w:val="center"/>
            <w:hideMark/>
          </w:tcPr>
          <w:p w:rsidR="004E3854" w:rsidRPr="004E3854" w:rsidRDefault="004E3854" w:rsidP="004E3854">
            <w:pPr>
              <w:spacing w:after="0" w:line="276" w:lineRule="auto"/>
              <w:jc w:val="right"/>
              <w:rPr>
                <w:rFonts w:ascii="Calibri" w:eastAsia="Calibri" w:hAnsi="Calibri" w:cs="Times New Roman"/>
                <w:b/>
                <w:sz w:val="18"/>
                <w:szCs w:val="18"/>
                <w:lang w:eastAsia="fr-FR"/>
              </w:rPr>
            </w:pPr>
            <w:r w:rsidRPr="004E3854">
              <w:rPr>
                <w:rFonts w:ascii="Calibri" w:eastAsia="Calibri" w:hAnsi="Calibri" w:cs="Times New Roman"/>
                <w:b/>
                <w:sz w:val="18"/>
                <w:szCs w:val="18"/>
                <w:lang w:eastAsia="fr-FR"/>
              </w:rPr>
              <w:t>(125 752 393)</w:t>
            </w:r>
          </w:p>
        </w:tc>
        <w:tc>
          <w:tcPr>
            <w:tcW w:w="77" w:type="pct"/>
            <w:tcBorders>
              <w:top w:val="nil"/>
              <w:left w:val="nil"/>
              <w:bottom w:val="nil"/>
              <w:right w:val="nil"/>
            </w:tcBorders>
            <w:shd w:val="clear" w:color="auto" w:fill="auto"/>
            <w:noWrap/>
            <w:vAlign w:val="bottom"/>
            <w:hideMark/>
          </w:tcPr>
          <w:p w:rsidR="004E3854" w:rsidRPr="004E3854" w:rsidRDefault="004E3854" w:rsidP="004E3854">
            <w:pPr>
              <w:spacing w:after="0" w:line="276" w:lineRule="auto"/>
              <w:jc w:val="right"/>
              <w:rPr>
                <w:rFonts w:ascii="Calibri" w:eastAsia="Calibri" w:hAnsi="Calibri" w:cs="Times New Roman"/>
                <w:b/>
                <w:sz w:val="18"/>
                <w:szCs w:val="18"/>
                <w:lang w:eastAsia="fr-FR"/>
              </w:rPr>
            </w:pPr>
          </w:p>
        </w:tc>
        <w:tc>
          <w:tcPr>
            <w:tcW w:w="848" w:type="pct"/>
            <w:tcBorders>
              <w:top w:val="single" w:sz="12" w:space="0" w:color="4F81BD"/>
              <w:left w:val="nil"/>
              <w:bottom w:val="nil"/>
              <w:right w:val="nil"/>
            </w:tcBorders>
            <w:shd w:val="clear" w:color="000000" w:fill="BFBFBF"/>
            <w:noWrap/>
            <w:vAlign w:val="center"/>
            <w:hideMark/>
          </w:tcPr>
          <w:p w:rsidR="004E3854" w:rsidRPr="004E3854" w:rsidRDefault="004E3854" w:rsidP="004E3854">
            <w:pPr>
              <w:spacing w:after="0" w:line="276" w:lineRule="auto"/>
              <w:jc w:val="right"/>
              <w:rPr>
                <w:rFonts w:ascii="Calibri" w:eastAsia="Calibri" w:hAnsi="Calibri" w:cs="Times New Roman"/>
                <w:b/>
                <w:sz w:val="18"/>
                <w:szCs w:val="18"/>
                <w:lang w:eastAsia="fr-FR"/>
              </w:rPr>
            </w:pPr>
            <w:r w:rsidRPr="004E3854">
              <w:rPr>
                <w:rFonts w:ascii="Calibri" w:eastAsia="Calibri" w:hAnsi="Calibri" w:cs="Times New Roman"/>
                <w:b/>
                <w:sz w:val="18"/>
                <w:szCs w:val="18"/>
                <w:lang w:eastAsia="fr-FR"/>
              </w:rPr>
              <w:t>(124 401 697)</w:t>
            </w:r>
          </w:p>
        </w:tc>
        <w:tc>
          <w:tcPr>
            <w:tcW w:w="709" w:type="pct"/>
            <w:tcBorders>
              <w:top w:val="single" w:sz="12" w:space="0" w:color="4F81BD"/>
              <w:left w:val="nil"/>
              <w:bottom w:val="nil"/>
              <w:right w:val="nil"/>
            </w:tcBorders>
            <w:shd w:val="clear" w:color="000000" w:fill="BFBFBF"/>
            <w:noWrap/>
            <w:vAlign w:val="center"/>
            <w:hideMark/>
          </w:tcPr>
          <w:p w:rsidR="004E3854" w:rsidRPr="004E3854" w:rsidRDefault="004E3854" w:rsidP="004E3854">
            <w:pPr>
              <w:spacing w:after="0" w:line="276" w:lineRule="auto"/>
              <w:jc w:val="right"/>
              <w:rPr>
                <w:rFonts w:ascii="Calibri" w:eastAsia="Calibri" w:hAnsi="Calibri" w:cs="Times New Roman"/>
                <w:b/>
                <w:sz w:val="18"/>
                <w:szCs w:val="18"/>
                <w:lang w:eastAsia="fr-FR"/>
              </w:rPr>
            </w:pPr>
            <w:r w:rsidRPr="004E3854">
              <w:rPr>
                <w:rFonts w:ascii="Calibri" w:eastAsia="Calibri" w:hAnsi="Calibri" w:cs="Times New Roman"/>
                <w:b/>
                <w:sz w:val="18"/>
                <w:szCs w:val="18"/>
                <w:lang w:eastAsia="fr-FR"/>
              </w:rPr>
              <w:t>(1 212 901)</w:t>
            </w:r>
          </w:p>
        </w:tc>
        <w:tc>
          <w:tcPr>
            <w:tcW w:w="539" w:type="pct"/>
            <w:tcBorders>
              <w:top w:val="single" w:sz="12" w:space="0" w:color="4F81BD"/>
              <w:left w:val="nil"/>
              <w:bottom w:val="nil"/>
              <w:right w:val="nil"/>
            </w:tcBorders>
            <w:shd w:val="clear" w:color="000000" w:fill="BFBFBF"/>
            <w:noWrap/>
            <w:vAlign w:val="center"/>
            <w:hideMark/>
          </w:tcPr>
          <w:p w:rsidR="004E3854" w:rsidRPr="004E3854" w:rsidRDefault="004E3854" w:rsidP="004E3854">
            <w:pPr>
              <w:spacing w:after="0" w:line="276" w:lineRule="auto"/>
              <w:jc w:val="right"/>
              <w:rPr>
                <w:rFonts w:ascii="Calibri" w:eastAsia="Calibri" w:hAnsi="Calibri" w:cs="Times New Roman"/>
                <w:b/>
                <w:sz w:val="18"/>
                <w:szCs w:val="18"/>
                <w:lang w:eastAsia="fr-FR"/>
              </w:rPr>
            </w:pPr>
            <w:r w:rsidRPr="004E3854">
              <w:rPr>
                <w:rFonts w:ascii="Calibri" w:eastAsia="Calibri" w:hAnsi="Calibri" w:cs="Times New Roman"/>
                <w:b/>
                <w:sz w:val="18"/>
                <w:szCs w:val="18"/>
                <w:lang w:eastAsia="fr-FR"/>
              </w:rPr>
              <w:t>(82 327)</w:t>
            </w:r>
          </w:p>
        </w:tc>
        <w:tc>
          <w:tcPr>
            <w:tcW w:w="539" w:type="pct"/>
            <w:tcBorders>
              <w:top w:val="single" w:sz="12" w:space="0" w:color="4F81BD"/>
              <w:left w:val="nil"/>
              <w:bottom w:val="nil"/>
              <w:right w:val="nil"/>
            </w:tcBorders>
            <w:shd w:val="clear" w:color="000000" w:fill="BFBFBF"/>
            <w:noWrap/>
            <w:vAlign w:val="center"/>
            <w:hideMark/>
          </w:tcPr>
          <w:p w:rsidR="004E3854" w:rsidRPr="00786C89" w:rsidRDefault="004E3854" w:rsidP="004E3854">
            <w:pPr>
              <w:pStyle w:val="Paragraphedeliste"/>
              <w:numPr>
                <w:ilvl w:val="0"/>
                <w:numId w:val="9"/>
              </w:numPr>
              <w:spacing w:after="0" w:line="276" w:lineRule="auto"/>
              <w:jc w:val="right"/>
              <w:rPr>
                <w:rFonts w:ascii="Calibri" w:eastAsia="Calibri" w:hAnsi="Calibri" w:cs="Times New Roman"/>
                <w:b/>
                <w:sz w:val="18"/>
                <w:szCs w:val="18"/>
                <w:lang w:eastAsia="fr-FR"/>
              </w:rPr>
            </w:pPr>
            <w:r w:rsidRPr="00786C89">
              <w:rPr>
                <w:rFonts w:ascii="Calibri" w:eastAsia="Calibri" w:hAnsi="Calibri" w:cs="Times New Roman"/>
                <w:b/>
                <w:sz w:val="18"/>
                <w:szCs w:val="18"/>
                <w:lang w:eastAsia="fr-FR"/>
              </w:rPr>
              <w:t>68)</w:t>
            </w:r>
          </w:p>
        </w:tc>
      </w:tr>
    </w:tbl>
    <w:p w:rsidR="00FD1BFA" w:rsidRPr="00FD1BFA" w:rsidRDefault="00FD1BFA" w:rsidP="004E3854">
      <w:pPr>
        <w:tabs>
          <w:tab w:val="left" w:pos="284"/>
        </w:tabs>
        <w:spacing w:after="200" w:line="276" w:lineRule="auto"/>
        <w:ind w:left="360"/>
        <w:contextualSpacing/>
        <w:jc w:val="both"/>
        <w:rPr>
          <w:rFonts w:ascii="Calibri" w:eastAsia="Calibri" w:hAnsi="Calibri" w:cs="Times New Roman"/>
          <w:sz w:val="10"/>
          <w:szCs w:val="28"/>
        </w:rPr>
      </w:pPr>
    </w:p>
    <w:p w:rsidR="004E3854" w:rsidRDefault="00FD1BFA" w:rsidP="006F1B8E">
      <w:pPr>
        <w:pStyle w:val="Paragraphedeliste"/>
        <w:spacing w:after="0" w:line="240" w:lineRule="auto"/>
        <w:ind w:left="0" w:right="-142"/>
        <w:jc w:val="both"/>
        <w:rPr>
          <w:rFonts w:ascii="Garamond" w:hAnsi="Garamond"/>
          <w:sz w:val="28"/>
          <w:szCs w:val="28"/>
        </w:rPr>
      </w:pPr>
      <w:r w:rsidRPr="00FD1BFA">
        <w:rPr>
          <w:rFonts w:ascii="Garamond" w:hAnsi="Garamond"/>
          <w:sz w:val="28"/>
          <w:szCs w:val="28"/>
        </w:rPr>
        <w:t>C</w:t>
      </w:r>
      <w:r>
        <w:rPr>
          <w:rFonts w:ascii="Garamond" w:hAnsi="Garamond"/>
          <w:sz w:val="28"/>
          <w:szCs w:val="28"/>
        </w:rPr>
        <w:t xml:space="preserve">es cas des doublons ont donné lieu à plusieurs interventions tendant à comprendre l’origine de ces </w:t>
      </w:r>
      <w:r w:rsidR="007520E1">
        <w:rPr>
          <w:rFonts w:ascii="Garamond" w:hAnsi="Garamond"/>
          <w:sz w:val="28"/>
          <w:szCs w:val="28"/>
        </w:rPr>
        <w:t>erreurs</w:t>
      </w:r>
      <w:r w:rsidR="00A43ADE">
        <w:rPr>
          <w:rFonts w:ascii="Garamond" w:hAnsi="Garamond"/>
          <w:sz w:val="28"/>
          <w:szCs w:val="28"/>
        </w:rPr>
        <w:t>. Au nombre des</w:t>
      </w:r>
      <w:r>
        <w:rPr>
          <w:rFonts w:ascii="Garamond" w:hAnsi="Garamond"/>
          <w:sz w:val="28"/>
          <w:szCs w:val="28"/>
        </w:rPr>
        <w:t xml:space="preserve"> causes avancées par les différents intervenants </w:t>
      </w:r>
      <w:r w:rsidR="007520E1">
        <w:rPr>
          <w:rFonts w:ascii="Garamond" w:hAnsi="Garamond"/>
          <w:sz w:val="28"/>
          <w:szCs w:val="28"/>
        </w:rPr>
        <w:t xml:space="preserve">comme susceptibles de produire ces doublons </w:t>
      </w:r>
      <w:r>
        <w:rPr>
          <w:rFonts w:ascii="Garamond" w:hAnsi="Garamond"/>
          <w:sz w:val="28"/>
          <w:szCs w:val="28"/>
        </w:rPr>
        <w:t>figurent:</w:t>
      </w:r>
    </w:p>
    <w:p w:rsidR="00786C89" w:rsidRPr="00786C89" w:rsidRDefault="00786C89" w:rsidP="006F1B8E">
      <w:pPr>
        <w:pStyle w:val="Paragraphedeliste"/>
        <w:spacing w:after="0" w:line="240" w:lineRule="auto"/>
        <w:ind w:left="0" w:right="-142"/>
        <w:jc w:val="both"/>
        <w:rPr>
          <w:rFonts w:ascii="Garamond" w:hAnsi="Garamond"/>
          <w:sz w:val="12"/>
          <w:szCs w:val="28"/>
        </w:rPr>
      </w:pPr>
    </w:p>
    <w:p w:rsidR="00FD1BFA" w:rsidRDefault="00A43ADE" w:rsidP="006F1B8E">
      <w:pPr>
        <w:pStyle w:val="Paragraphedeliste"/>
        <w:numPr>
          <w:ilvl w:val="0"/>
          <w:numId w:val="10"/>
        </w:numPr>
        <w:spacing w:after="0" w:line="240" w:lineRule="auto"/>
        <w:ind w:right="-142"/>
        <w:rPr>
          <w:rFonts w:ascii="Garamond" w:hAnsi="Garamond"/>
          <w:sz w:val="28"/>
          <w:szCs w:val="28"/>
        </w:rPr>
      </w:pPr>
      <w:r>
        <w:rPr>
          <w:rFonts w:ascii="Garamond" w:hAnsi="Garamond"/>
          <w:sz w:val="28"/>
          <w:szCs w:val="28"/>
        </w:rPr>
        <w:t>la possibilité</w:t>
      </w:r>
      <w:r w:rsidR="00FD1BFA">
        <w:rPr>
          <w:rFonts w:ascii="Garamond" w:hAnsi="Garamond"/>
          <w:sz w:val="28"/>
          <w:szCs w:val="28"/>
        </w:rPr>
        <w:t xml:space="preserve"> d’avoir plusieurs paiements ayant un numéro de quittance identique</w:t>
      </w:r>
      <w:r w:rsidR="00836381">
        <w:rPr>
          <w:rFonts w:ascii="Garamond" w:hAnsi="Garamond"/>
          <w:sz w:val="28"/>
          <w:szCs w:val="28"/>
        </w:rPr>
        <w:t> ;</w:t>
      </w:r>
    </w:p>
    <w:p w:rsidR="007520E1" w:rsidRDefault="00FD1BFA" w:rsidP="006F1B8E">
      <w:pPr>
        <w:pStyle w:val="Paragraphedeliste"/>
        <w:numPr>
          <w:ilvl w:val="0"/>
          <w:numId w:val="10"/>
        </w:numPr>
        <w:spacing w:after="0"/>
        <w:ind w:right="-142"/>
        <w:rPr>
          <w:rFonts w:ascii="Garamond" w:hAnsi="Garamond"/>
          <w:sz w:val="28"/>
          <w:szCs w:val="28"/>
        </w:rPr>
      </w:pPr>
      <w:r>
        <w:rPr>
          <w:rFonts w:ascii="Garamond" w:hAnsi="Garamond"/>
          <w:sz w:val="28"/>
          <w:szCs w:val="28"/>
        </w:rPr>
        <w:t xml:space="preserve"> </w:t>
      </w:r>
      <w:r w:rsidR="00A43ADE">
        <w:rPr>
          <w:rFonts w:ascii="Garamond" w:hAnsi="Garamond"/>
          <w:sz w:val="28"/>
          <w:szCs w:val="28"/>
        </w:rPr>
        <w:t xml:space="preserve">le fait </w:t>
      </w:r>
      <w:r w:rsidR="007520E1">
        <w:rPr>
          <w:rFonts w:ascii="Garamond" w:hAnsi="Garamond"/>
          <w:sz w:val="28"/>
          <w:szCs w:val="28"/>
        </w:rPr>
        <w:t>qu’une seule quittance peut porter plusieurs liquidations.</w:t>
      </w:r>
    </w:p>
    <w:p w:rsidR="006F1B8E" w:rsidRPr="006F1B8E" w:rsidRDefault="006F1B8E" w:rsidP="006F1B8E">
      <w:pPr>
        <w:pStyle w:val="Paragraphedeliste"/>
        <w:spacing w:after="0"/>
        <w:ind w:right="-142"/>
        <w:rPr>
          <w:rFonts w:ascii="Garamond" w:hAnsi="Garamond"/>
          <w:sz w:val="14"/>
          <w:szCs w:val="28"/>
        </w:rPr>
      </w:pPr>
    </w:p>
    <w:p w:rsidR="003F1C57" w:rsidRDefault="00A43ADE" w:rsidP="00B8311C">
      <w:pPr>
        <w:ind w:right="-142"/>
        <w:jc w:val="both"/>
        <w:rPr>
          <w:rFonts w:ascii="Garamond" w:hAnsi="Garamond"/>
          <w:sz w:val="28"/>
          <w:szCs w:val="28"/>
        </w:rPr>
      </w:pPr>
      <w:r>
        <w:rPr>
          <w:rFonts w:ascii="Garamond" w:hAnsi="Garamond"/>
          <w:sz w:val="28"/>
          <w:szCs w:val="28"/>
        </w:rPr>
        <w:lastRenderedPageBreak/>
        <w:t xml:space="preserve">En réponse à </w:t>
      </w:r>
      <w:r w:rsidR="007520E1">
        <w:rPr>
          <w:rFonts w:ascii="Garamond" w:hAnsi="Garamond"/>
          <w:sz w:val="28"/>
          <w:szCs w:val="28"/>
        </w:rPr>
        <w:t xml:space="preserve">ces </w:t>
      </w:r>
      <w:r>
        <w:rPr>
          <w:rFonts w:ascii="Garamond" w:hAnsi="Garamond"/>
          <w:sz w:val="28"/>
          <w:szCs w:val="28"/>
        </w:rPr>
        <w:t xml:space="preserve">assertions, le ST a soutenu que le formulaire de déclaration ITIE réglait déjà ces problèmes en ce qu’il </w:t>
      </w:r>
      <w:r w:rsidR="00B8311C">
        <w:rPr>
          <w:rFonts w:ascii="Garamond" w:hAnsi="Garamond"/>
          <w:sz w:val="28"/>
          <w:szCs w:val="28"/>
        </w:rPr>
        <w:t xml:space="preserve">requiert </w:t>
      </w:r>
      <w:r w:rsidR="00453BCD">
        <w:rPr>
          <w:rFonts w:ascii="Garamond" w:hAnsi="Garamond"/>
          <w:sz w:val="28"/>
          <w:szCs w:val="28"/>
        </w:rPr>
        <w:t xml:space="preserve"> en plus des trois éléments clés</w:t>
      </w:r>
      <w:r w:rsidR="00B8311C">
        <w:rPr>
          <w:rFonts w:ascii="Garamond" w:hAnsi="Garamond"/>
          <w:sz w:val="28"/>
          <w:szCs w:val="28"/>
        </w:rPr>
        <w:t xml:space="preserve"> de rapprochement (d</w:t>
      </w:r>
      <w:r w:rsidR="00453BCD">
        <w:rPr>
          <w:rFonts w:ascii="Garamond" w:hAnsi="Garamond"/>
          <w:sz w:val="28"/>
          <w:szCs w:val="28"/>
        </w:rPr>
        <w:t xml:space="preserve">ate du paiement, </w:t>
      </w:r>
      <w:r w:rsidR="00B8311C">
        <w:rPr>
          <w:rFonts w:ascii="Garamond" w:hAnsi="Garamond"/>
          <w:sz w:val="28"/>
          <w:szCs w:val="28"/>
        </w:rPr>
        <w:t>n° de quittance et code bureau), d’autres renseignements d’accompagnement (BL, date BL, Banque perceptrice</w:t>
      </w:r>
      <w:r w:rsidR="003F1C57">
        <w:rPr>
          <w:rFonts w:ascii="Garamond" w:hAnsi="Garamond"/>
          <w:sz w:val="28"/>
          <w:szCs w:val="28"/>
        </w:rPr>
        <w:t>…</w:t>
      </w:r>
      <w:r w:rsidR="00B8311C">
        <w:rPr>
          <w:rFonts w:ascii="Garamond" w:hAnsi="Garamond"/>
          <w:sz w:val="28"/>
          <w:szCs w:val="28"/>
        </w:rPr>
        <w:t xml:space="preserve">) en vue de faciliter d’avantage les travaux de conciliation. </w:t>
      </w:r>
    </w:p>
    <w:p w:rsidR="00586FA9" w:rsidRDefault="00586FA9" w:rsidP="00B8311C">
      <w:pPr>
        <w:ind w:right="-142"/>
        <w:jc w:val="both"/>
        <w:rPr>
          <w:rFonts w:ascii="Garamond" w:hAnsi="Garamond"/>
          <w:sz w:val="28"/>
          <w:szCs w:val="28"/>
        </w:rPr>
      </w:pPr>
      <w:r>
        <w:rPr>
          <w:rFonts w:ascii="Garamond" w:hAnsi="Garamond"/>
          <w:sz w:val="28"/>
          <w:szCs w:val="28"/>
        </w:rPr>
        <w:t xml:space="preserve">De ce fait, il suffirait aux transitaires de communiquer à leurs clientes, les entreprises extractives,  les données telles que demandées </w:t>
      </w:r>
      <w:r w:rsidR="003F1C57">
        <w:rPr>
          <w:rFonts w:ascii="Garamond" w:hAnsi="Garamond"/>
          <w:sz w:val="28"/>
          <w:szCs w:val="28"/>
        </w:rPr>
        <w:t>dans</w:t>
      </w:r>
      <w:r>
        <w:rPr>
          <w:rFonts w:ascii="Garamond" w:hAnsi="Garamond"/>
          <w:sz w:val="28"/>
          <w:szCs w:val="28"/>
        </w:rPr>
        <w:t xml:space="preserve"> le FD</w:t>
      </w:r>
      <w:r w:rsidR="003F1C57">
        <w:rPr>
          <w:rFonts w:ascii="Garamond" w:hAnsi="Garamond"/>
          <w:sz w:val="28"/>
          <w:szCs w:val="28"/>
        </w:rPr>
        <w:t xml:space="preserve"> ITIE</w:t>
      </w:r>
      <w:r>
        <w:rPr>
          <w:rFonts w:ascii="Garamond" w:hAnsi="Garamond"/>
          <w:sz w:val="28"/>
          <w:szCs w:val="28"/>
        </w:rPr>
        <w:t xml:space="preserve"> en respectant notamment la clé </w:t>
      </w:r>
      <w:r w:rsidR="003F1C57">
        <w:rPr>
          <w:rFonts w:ascii="Garamond" w:hAnsi="Garamond"/>
          <w:sz w:val="28"/>
          <w:szCs w:val="28"/>
        </w:rPr>
        <w:t xml:space="preserve">tripartite </w:t>
      </w:r>
      <w:r>
        <w:rPr>
          <w:rFonts w:ascii="Garamond" w:hAnsi="Garamond"/>
          <w:sz w:val="28"/>
          <w:szCs w:val="28"/>
        </w:rPr>
        <w:t>de  rapprochement.</w:t>
      </w:r>
    </w:p>
    <w:p w:rsidR="003F1C57" w:rsidRDefault="00586FA9" w:rsidP="006F1B8E">
      <w:pPr>
        <w:spacing w:line="276" w:lineRule="auto"/>
        <w:ind w:right="-142"/>
        <w:jc w:val="both"/>
        <w:rPr>
          <w:rFonts w:ascii="Garamond" w:hAnsi="Garamond"/>
          <w:sz w:val="28"/>
          <w:szCs w:val="28"/>
        </w:rPr>
      </w:pPr>
      <w:r>
        <w:rPr>
          <w:rFonts w:ascii="Garamond" w:hAnsi="Garamond"/>
          <w:sz w:val="28"/>
          <w:szCs w:val="28"/>
        </w:rPr>
        <w:t>Ainsi, une question a été po</w:t>
      </w:r>
      <w:r w:rsidR="003F1C57">
        <w:rPr>
          <w:rFonts w:ascii="Garamond" w:hAnsi="Garamond"/>
          <w:sz w:val="28"/>
          <w:szCs w:val="28"/>
        </w:rPr>
        <w:t>sée aux a</w:t>
      </w:r>
      <w:r>
        <w:rPr>
          <w:rFonts w:ascii="Garamond" w:hAnsi="Garamond"/>
          <w:sz w:val="28"/>
          <w:szCs w:val="28"/>
        </w:rPr>
        <w:t xml:space="preserve">gences en douane pour savoir </w:t>
      </w:r>
      <w:r w:rsidR="003F1C57">
        <w:rPr>
          <w:rFonts w:ascii="Garamond" w:hAnsi="Garamond"/>
          <w:sz w:val="28"/>
          <w:szCs w:val="28"/>
        </w:rPr>
        <w:t>s’il  était</w:t>
      </w:r>
      <w:r>
        <w:rPr>
          <w:rFonts w:ascii="Garamond" w:hAnsi="Garamond"/>
          <w:sz w:val="28"/>
          <w:szCs w:val="28"/>
        </w:rPr>
        <w:t xml:space="preserve"> difficile pour elles de communiquer </w:t>
      </w:r>
      <w:r w:rsidR="003F1C57">
        <w:rPr>
          <w:rFonts w:ascii="Garamond" w:hAnsi="Garamond"/>
          <w:sz w:val="28"/>
          <w:szCs w:val="28"/>
        </w:rPr>
        <w:t>aux entreprises extractives les données suivant le formulaire de déclaration ITIE.</w:t>
      </w:r>
    </w:p>
    <w:p w:rsidR="00586FA9" w:rsidRDefault="00994C30" w:rsidP="00B8311C">
      <w:pPr>
        <w:ind w:right="-142"/>
        <w:jc w:val="both"/>
        <w:rPr>
          <w:rFonts w:ascii="Garamond" w:hAnsi="Garamond"/>
          <w:sz w:val="28"/>
          <w:szCs w:val="28"/>
        </w:rPr>
      </w:pPr>
      <w:r>
        <w:rPr>
          <w:rFonts w:ascii="Garamond" w:hAnsi="Garamond"/>
          <w:sz w:val="28"/>
          <w:szCs w:val="28"/>
        </w:rPr>
        <w:t>Il ressort d</w:t>
      </w:r>
      <w:r w:rsidR="003F1C57">
        <w:rPr>
          <w:rFonts w:ascii="Garamond" w:hAnsi="Garamond"/>
          <w:sz w:val="28"/>
          <w:szCs w:val="28"/>
        </w:rPr>
        <w:t>e l’avis général des agences en</w:t>
      </w:r>
      <w:r w:rsidR="00786C89">
        <w:rPr>
          <w:rFonts w:ascii="Garamond" w:hAnsi="Garamond"/>
          <w:sz w:val="28"/>
          <w:szCs w:val="28"/>
        </w:rPr>
        <w:t xml:space="preserve"> douane à la suite de cette question</w:t>
      </w:r>
      <w:r>
        <w:rPr>
          <w:rFonts w:ascii="Garamond" w:hAnsi="Garamond"/>
          <w:sz w:val="28"/>
          <w:szCs w:val="28"/>
        </w:rPr>
        <w:t xml:space="preserve"> </w:t>
      </w:r>
      <w:r w:rsidR="00786C89">
        <w:rPr>
          <w:rFonts w:ascii="Garamond" w:hAnsi="Garamond"/>
          <w:sz w:val="28"/>
          <w:szCs w:val="28"/>
        </w:rPr>
        <w:t>qu’elles sont bel et bien à mesure de fournir à leurs clientes les éléments suivant le FD ITIE.</w:t>
      </w:r>
    </w:p>
    <w:p w:rsidR="00786C89" w:rsidRPr="007520E1" w:rsidRDefault="00786C89" w:rsidP="00B8311C">
      <w:pPr>
        <w:ind w:right="-142"/>
        <w:jc w:val="both"/>
        <w:rPr>
          <w:rFonts w:ascii="Garamond" w:hAnsi="Garamond"/>
          <w:sz w:val="28"/>
          <w:szCs w:val="28"/>
        </w:rPr>
      </w:pPr>
      <w:r>
        <w:rPr>
          <w:rFonts w:ascii="Garamond" w:hAnsi="Garamond"/>
          <w:sz w:val="28"/>
          <w:szCs w:val="28"/>
        </w:rPr>
        <w:t>Pour la DGDA, l’origine des doublons résiderait entre autres dans le manque de maitrise du logiciel SYDONIA par les agences en douane.</w:t>
      </w:r>
    </w:p>
    <w:p w:rsidR="004E3854" w:rsidRPr="004E3854" w:rsidRDefault="004E3854" w:rsidP="00786C89">
      <w:pPr>
        <w:pStyle w:val="Paragraphedeliste"/>
        <w:numPr>
          <w:ilvl w:val="0"/>
          <w:numId w:val="8"/>
        </w:numPr>
        <w:jc w:val="both"/>
        <w:rPr>
          <w:rFonts w:ascii="Garamond" w:hAnsi="Garamond"/>
          <w:b/>
          <w:sz w:val="28"/>
          <w:szCs w:val="28"/>
        </w:rPr>
      </w:pPr>
      <w:r w:rsidRPr="004E3854">
        <w:rPr>
          <w:rFonts w:ascii="Garamond" w:hAnsi="Garamond"/>
          <w:b/>
          <w:sz w:val="28"/>
          <w:szCs w:val="28"/>
        </w:rPr>
        <w:t xml:space="preserve">Déclarations des montants inexacts </w:t>
      </w:r>
    </w:p>
    <w:p w:rsidR="004E3854" w:rsidRPr="004E3854" w:rsidRDefault="004E3854" w:rsidP="004E3854">
      <w:pPr>
        <w:tabs>
          <w:tab w:val="left" w:pos="142"/>
        </w:tabs>
        <w:spacing w:after="200" w:line="276" w:lineRule="auto"/>
        <w:ind w:left="142"/>
        <w:contextualSpacing/>
        <w:rPr>
          <w:rFonts w:ascii="Garamond" w:eastAsia="Calibri" w:hAnsi="Garamond" w:cs="Times New Roman"/>
          <w:sz w:val="20"/>
          <w:szCs w:val="20"/>
        </w:rPr>
      </w:pPr>
      <w:r w:rsidRPr="004E3854">
        <w:rPr>
          <w:rFonts w:ascii="Garamond" w:eastAsia="Calibri" w:hAnsi="Garamond" w:cs="Times New Roman"/>
          <w:sz w:val="20"/>
          <w:szCs w:val="20"/>
        </w:rPr>
        <w:t>Exemple:</w:t>
      </w:r>
    </w:p>
    <w:tbl>
      <w:tblPr>
        <w:tblW w:w="4871" w:type="pct"/>
        <w:jc w:val="center"/>
        <w:tblLayout w:type="fixed"/>
        <w:tblCellMar>
          <w:left w:w="70" w:type="dxa"/>
          <w:right w:w="70" w:type="dxa"/>
        </w:tblCellMar>
        <w:tblLook w:val="04A0" w:firstRow="1" w:lastRow="0" w:firstColumn="1" w:lastColumn="0" w:noHBand="0" w:noVBand="1"/>
      </w:tblPr>
      <w:tblGrid>
        <w:gridCol w:w="1109"/>
        <w:gridCol w:w="11"/>
        <w:gridCol w:w="1239"/>
        <w:gridCol w:w="138"/>
        <w:gridCol w:w="1555"/>
        <w:gridCol w:w="120"/>
        <w:gridCol w:w="157"/>
        <w:gridCol w:w="117"/>
        <w:gridCol w:w="1123"/>
        <w:gridCol w:w="272"/>
        <w:gridCol w:w="1156"/>
        <w:gridCol w:w="184"/>
        <w:gridCol w:w="111"/>
        <w:gridCol w:w="182"/>
        <w:gridCol w:w="1312"/>
        <w:gridCol w:w="42"/>
      </w:tblGrid>
      <w:tr w:rsidR="004E3854" w:rsidRPr="004E3854" w:rsidTr="00040563">
        <w:trPr>
          <w:trHeight w:val="262"/>
          <w:jc w:val="center"/>
        </w:trPr>
        <w:tc>
          <w:tcPr>
            <w:tcW w:w="634" w:type="pct"/>
            <w:gridSpan w:val="2"/>
            <w:vMerge w:val="restar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r w:rsidRPr="004E3854">
              <w:rPr>
                <w:rFonts w:ascii="Calibri" w:eastAsia="Calibri" w:hAnsi="Calibri" w:cs="Times New Roman"/>
                <w:color w:val="000000"/>
                <w:sz w:val="20"/>
                <w:szCs w:val="20"/>
                <w:lang w:eastAsia="fr-FR"/>
              </w:rPr>
              <w:t>MUMI</w:t>
            </w:r>
          </w:p>
        </w:tc>
        <w:tc>
          <w:tcPr>
            <w:tcW w:w="702" w:type="pct"/>
            <w:tcBorders>
              <w:top w:val="single" w:sz="4" w:space="0" w:color="5B9BD5"/>
              <w:left w:val="nil"/>
              <w:bottom w:val="single" w:sz="4" w:space="0" w:color="5B9BD5"/>
              <w:right w:val="single" w:sz="4" w:space="0" w:color="5B9BD5"/>
            </w:tcBorders>
            <w:shd w:val="clear" w:color="000000" w:fill="1F4E78"/>
            <w:vAlign w:val="center"/>
            <w:hideMark/>
          </w:tcPr>
          <w:p w:rsidR="004E3854" w:rsidRPr="004E3854" w:rsidRDefault="004E3854" w:rsidP="004E3854">
            <w:pPr>
              <w:spacing w:after="0" w:line="276" w:lineRule="auto"/>
              <w:jc w:val="both"/>
              <w:rPr>
                <w:rFonts w:ascii="Calibri" w:eastAsia="Calibri" w:hAnsi="Calibri" w:cs="Times New Roman"/>
                <w:b/>
                <w:color w:val="FFFFFF"/>
                <w:sz w:val="20"/>
                <w:szCs w:val="20"/>
                <w:lang w:eastAsia="fr-FR"/>
              </w:rPr>
            </w:pPr>
            <w:r w:rsidRPr="004E3854">
              <w:rPr>
                <w:rFonts w:ascii="Calibri" w:eastAsia="Calibri" w:hAnsi="Calibri" w:cs="Times New Roman"/>
                <w:b/>
                <w:color w:val="FFFFFF"/>
                <w:sz w:val="20"/>
                <w:szCs w:val="20"/>
                <w:lang w:eastAsia="fr-FR"/>
              </w:rPr>
              <w:t>N° Quittance</w:t>
            </w:r>
          </w:p>
        </w:tc>
        <w:tc>
          <w:tcPr>
            <w:tcW w:w="959" w:type="pct"/>
            <w:gridSpan w:val="2"/>
            <w:tcBorders>
              <w:top w:val="single" w:sz="4" w:space="0" w:color="5B9BD5"/>
              <w:left w:val="nil"/>
              <w:bottom w:val="single" w:sz="4" w:space="0" w:color="5B9BD5"/>
              <w:right w:val="single" w:sz="4" w:space="0" w:color="5B9BD5"/>
            </w:tcBorders>
            <w:shd w:val="clear" w:color="000000" w:fill="1F4E78"/>
            <w:vAlign w:val="center"/>
            <w:hideMark/>
          </w:tcPr>
          <w:p w:rsidR="004E3854" w:rsidRPr="004E3854" w:rsidRDefault="004E3854" w:rsidP="004E3854">
            <w:pPr>
              <w:spacing w:after="0" w:line="276" w:lineRule="auto"/>
              <w:jc w:val="both"/>
              <w:rPr>
                <w:rFonts w:ascii="Calibri" w:eastAsia="Calibri" w:hAnsi="Calibri" w:cs="Times New Roman"/>
                <w:b/>
                <w:color w:val="FFFFFF"/>
                <w:sz w:val="20"/>
                <w:szCs w:val="20"/>
                <w:lang w:eastAsia="fr-FR"/>
              </w:rPr>
            </w:pPr>
            <w:r w:rsidRPr="004E3854">
              <w:rPr>
                <w:rFonts w:ascii="Calibri" w:eastAsia="Calibri" w:hAnsi="Calibri" w:cs="Times New Roman"/>
                <w:b/>
                <w:color w:val="FFFFFF"/>
                <w:sz w:val="20"/>
                <w:szCs w:val="20"/>
                <w:lang w:eastAsia="fr-FR"/>
              </w:rPr>
              <w:t xml:space="preserve"> Société </w:t>
            </w:r>
          </w:p>
        </w:tc>
        <w:tc>
          <w:tcPr>
            <w:tcW w:w="157" w:type="pct"/>
            <w:gridSpan w:val="2"/>
            <w:tcBorders>
              <w:top w:val="single" w:sz="4" w:space="0" w:color="5B9BD5"/>
              <w:left w:val="nil"/>
              <w:bottom w:val="single" w:sz="4" w:space="0" w:color="5B9BD5"/>
              <w:right w:val="single" w:sz="4" w:space="0" w:color="5B9BD5"/>
            </w:tcBorders>
            <w:shd w:val="clear" w:color="000000" w:fill="FFFFFF"/>
            <w:noWrap/>
            <w:vAlign w:val="bottom"/>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r w:rsidRPr="004E3854">
              <w:rPr>
                <w:rFonts w:ascii="Calibri" w:eastAsia="Calibri" w:hAnsi="Calibri" w:cs="Times New Roman"/>
                <w:color w:val="000000"/>
                <w:sz w:val="20"/>
                <w:szCs w:val="20"/>
                <w:lang w:eastAsia="fr-FR"/>
              </w:rPr>
              <w:t> </w:t>
            </w:r>
          </w:p>
        </w:tc>
        <w:tc>
          <w:tcPr>
            <w:tcW w:w="702" w:type="pct"/>
            <w:gridSpan w:val="2"/>
            <w:tcBorders>
              <w:top w:val="single" w:sz="4" w:space="0" w:color="5B9BD5"/>
              <w:left w:val="nil"/>
              <w:bottom w:val="single" w:sz="4" w:space="0" w:color="5B9BD5"/>
              <w:right w:val="single" w:sz="4" w:space="0" w:color="5B9BD5"/>
            </w:tcBorders>
            <w:shd w:val="clear" w:color="000000" w:fill="1F4E78"/>
            <w:vAlign w:val="center"/>
            <w:hideMark/>
          </w:tcPr>
          <w:p w:rsidR="004E3854" w:rsidRPr="004E3854" w:rsidRDefault="004E3854" w:rsidP="004E3854">
            <w:pPr>
              <w:spacing w:after="0" w:line="276" w:lineRule="auto"/>
              <w:jc w:val="both"/>
              <w:rPr>
                <w:rFonts w:ascii="Calibri" w:eastAsia="Calibri" w:hAnsi="Calibri" w:cs="Times New Roman"/>
                <w:b/>
                <w:color w:val="FFFFFF"/>
                <w:sz w:val="20"/>
                <w:szCs w:val="20"/>
                <w:lang w:eastAsia="fr-FR"/>
              </w:rPr>
            </w:pPr>
            <w:r w:rsidRPr="004E3854">
              <w:rPr>
                <w:rFonts w:ascii="Calibri" w:eastAsia="Calibri" w:hAnsi="Calibri" w:cs="Times New Roman"/>
                <w:b/>
                <w:color w:val="FFFFFF"/>
                <w:sz w:val="20"/>
                <w:szCs w:val="20"/>
                <w:lang w:eastAsia="fr-FR"/>
              </w:rPr>
              <w:t xml:space="preserve"> N° Quittance </w:t>
            </w:r>
          </w:p>
        </w:tc>
        <w:tc>
          <w:tcPr>
            <w:tcW w:w="809" w:type="pct"/>
            <w:gridSpan w:val="2"/>
            <w:tcBorders>
              <w:top w:val="single" w:sz="4" w:space="0" w:color="5B9BD5"/>
              <w:left w:val="nil"/>
              <w:bottom w:val="single" w:sz="4" w:space="0" w:color="5B9BD5"/>
              <w:right w:val="single" w:sz="4" w:space="0" w:color="5B9BD5"/>
            </w:tcBorders>
            <w:shd w:val="clear" w:color="000000" w:fill="1F4E78"/>
            <w:vAlign w:val="center"/>
            <w:hideMark/>
          </w:tcPr>
          <w:p w:rsidR="004E3854" w:rsidRPr="004E3854" w:rsidRDefault="004E3854" w:rsidP="004E3854">
            <w:pPr>
              <w:spacing w:after="0" w:line="276" w:lineRule="auto"/>
              <w:jc w:val="both"/>
              <w:rPr>
                <w:rFonts w:ascii="Calibri" w:eastAsia="Calibri" w:hAnsi="Calibri" w:cs="Times New Roman"/>
                <w:b/>
                <w:color w:val="FFFFFF"/>
                <w:sz w:val="20"/>
                <w:szCs w:val="20"/>
                <w:lang w:eastAsia="fr-FR"/>
              </w:rPr>
            </w:pPr>
            <w:r w:rsidRPr="004E3854">
              <w:rPr>
                <w:rFonts w:ascii="Calibri" w:eastAsia="Calibri" w:hAnsi="Calibri" w:cs="Times New Roman"/>
                <w:b/>
                <w:color w:val="FFFFFF"/>
                <w:sz w:val="20"/>
                <w:szCs w:val="20"/>
                <w:lang w:eastAsia="fr-FR"/>
              </w:rPr>
              <w:t xml:space="preserve"> DGDA </w:t>
            </w:r>
          </w:p>
        </w:tc>
        <w:tc>
          <w:tcPr>
            <w:tcW w:w="104" w:type="pct"/>
            <w:tcBorders>
              <w:top w:val="single" w:sz="4" w:space="0" w:color="5B9BD5"/>
              <w:left w:val="nil"/>
              <w:bottom w:val="single" w:sz="4" w:space="0" w:color="5B9BD5"/>
              <w:right w:val="single" w:sz="4" w:space="0" w:color="5B9BD5"/>
            </w:tcBorders>
            <w:shd w:val="clear" w:color="000000" w:fill="FFFFFF"/>
            <w:noWrap/>
            <w:vAlign w:val="bottom"/>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r w:rsidRPr="004E3854">
              <w:rPr>
                <w:rFonts w:ascii="Calibri" w:eastAsia="Calibri" w:hAnsi="Calibri" w:cs="Times New Roman"/>
                <w:color w:val="000000"/>
                <w:sz w:val="20"/>
                <w:szCs w:val="20"/>
                <w:lang w:eastAsia="fr-FR"/>
              </w:rPr>
              <w:t> </w:t>
            </w:r>
          </w:p>
        </w:tc>
        <w:tc>
          <w:tcPr>
            <w:tcW w:w="933" w:type="pct"/>
            <w:gridSpan w:val="4"/>
            <w:tcBorders>
              <w:top w:val="single" w:sz="4" w:space="0" w:color="5B9BD5"/>
              <w:left w:val="nil"/>
              <w:bottom w:val="single" w:sz="4" w:space="0" w:color="5B9BD5"/>
              <w:right w:val="single" w:sz="4" w:space="0" w:color="5B9BD5"/>
            </w:tcBorders>
            <w:shd w:val="clear" w:color="000000" w:fill="1F4E78"/>
            <w:vAlign w:val="center"/>
            <w:hideMark/>
          </w:tcPr>
          <w:p w:rsidR="004E3854" w:rsidRPr="004E3854" w:rsidRDefault="004E3854" w:rsidP="004E3854">
            <w:pPr>
              <w:spacing w:after="0" w:line="276" w:lineRule="auto"/>
              <w:jc w:val="both"/>
              <w:rPr>
                <w:rFonts w:ascii="Calibri" w:eastAsia="Calibri" w:hAnsi="Calibri" w:cs="Times New Roman"/>
                <w:b/>
                <w:color w:val="FFFFFF"/>
                <w:sz w:val="20"/>
                <w:szCs w:val="20"/>
                <w:lang w:eastAsia="fr-FR"/>
              </w:rPr>
            </w:pPr>
            <w:r w:rsidRPr="004E3854">
              <w:rPr>
                <w:rFonts w:ascii="Calibri" w:eastAsia="Calibri" w:hAnsi="Calibri" w:cs="Times New Roman"/>
                <w:b/>
                <w:color w:val="FFFFFF"/>
                <w:sz w:val="20"/>
                <w:szCs w:val="20"/>
                <w:lang w:eastAsia="fr-FR"/>
              </w:rPr>
              <w:t xml:space="preserve"> ECART en CDF </w:t>
            </w:r>
          </w:p>
        </w:tc>
      </w:tr>
      <w:tr w:rsidR="004E3854" w:rsidRPr="004E3854" w:rsidTr="00040563">
        <w:trPr>
          <w:trHeight w:val="262"/>
          <w:jc w:val="center"/>
        </w:trPr>
        <w:tc>
          <w:tcPr>
            <w:tcW w:w="634" w:type="pct"/>
            <w:gridSpan w:val="2"/>
            <w:vMerge/>
            <w:tcBorders>
              <w:top w:val="single" w:sz="4" w:space="0" w:color="5B9BD5"/>
              <w:left w:val="single" w:sz="4" w:space="0" w:color="5B9BD5"/>
              <w:bottom w:val="single" w:sz="4" w:space="0" w:color="5B9BD5"/>
              <w:right w:val="single" w:sz="4" w:space="0" w:color="5B9BD5"/>
            </w:tcBorders>
            <w:vAlign w:val="center"/>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p>
        </w:tc>
        <w:tc>
          <w:tcPr>
            <w:tcW w:w="702" w:type="pct"/>
            <w:tcBorders>
              <w:top w:val="nil"/>
              <w:left w:val="nil"/>
              <w:bottom w:val="single" w:sz="4" w:space="0" w:color="5B9BD5"/>
              <w:right w:val="single" w:sz="4" w:space="0" w:color="5B9BD5"/>
            </w:tcBorders>
            <w:shd w:val="clear" w:color="000000" w:fill="FFFFFF"/>
            <w:noWrap/>
            <w:vAlign w:val="bottom"/>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r w:rsidRPr="004E3854">
              <w:rPr>
                <w:rFonts w:ascii="Calibri" w:eastAsia="Calibri" w:hAnsi="Calibri" w:cs="Times New Roman"/>
                <w:color w:val="000000"/>
                <w:sz w:val="20"/>
                <w:szCs w:val="20"/>
                <w:lang w:eastAsia="fr-FR"/>
              </w:rPr>
              <w:t>Q4429</w:t>
            </w:r>
          </w:p>
        </w:tc>
        <w:tc>
          <w:tcPr>
            <w:tcW w:w="959" w:type="pct"/>
            <w:gridSpan w:val="2"/>
            <w:tcBorders>
              <w:top w:val="nil"/>
              <w:left w:val="nil"/>
              <w:bottom w:val="single" w:sz="4" w:space="0" w:color="5B9BD5"/>
              <w:right w:val="single" w:sz="4" w:space="0" w:color="5B9BD5"/>
            </w:tcBorders>
            <w:shd w:val="clear" w:color="000000" w:fill="FFFFFF"/>
            <w:noWrap/>
            <w:vAlign w:val="bottom"/>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r w:rsidRPr="004E3854">
              <w:rPr>
                <w:rFonts w:ascii="Calibri" w:eastAsia="Calibri" w:hAnsi="Calibri" w:cs="Times New Roman"/>
                <w:color w:val="000000"/>
                <w:sz w:val="20"/>
                <w:szCs w:val="20"/>
                <w:lang w:eastAsia="fr-FR"/>
              </w:rPr>
              <w:t>127 596 853</w:t>
            </w:r>
          </w:p>
        </w:tc>
        <w:tc>
          <w:tcPr>
            <w:tcW w:w="157" w:type="pct"/>
            <w:gridSpan w:val="2"/>
            <w:tcBorders>
              <w:top w:val="nil"/>
              <w:left w:val="nil"/>
              <w:bottom w:val="single" w:sz="4" w:space="0" w:color="5B9BD5"/>
              <w:right w:val="single" w:sz="4" w:space="0" w:color="5B9BD5"/>
            </w:tcBorders>
            <w:shd w:val="clear" w:color="000000" w:fill="FFFFFF"/>
            <w:noWrap/>
            <w:vAlign w:val="bottom"/>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p>
        </w:tc>
        <w:tc>
          <w:tcPr>
            <w:tcW w:w="702" w:type="pct"/>
            <w:gridSpan w:val="2"/>
            <w:tcBorders>
              <w:top w:val="nil"/>
              <w:left w:val="nil"/>
              <w:bottom w:val="single" w:sz="4" w:space="0" w:color="5B9BD5"/>
              <w:right w:val="single" w:sz="4" w:space="0" w:color="5B9BD5"/>
            </w:tcBorders>
            <w:shd w:val="clear" w:color="000000" w:fill="FFFFFF"/>
            <w:noWrap/>
            <w:vAlign w:val="bottom"/>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r w:rsidRPr="004E3854">
              <w:rPr>
                <w:rFonts w:ascii="Calibri" w:eastAsia="Calibri" w:hAnsi="Calibri" w:cs="Times New Roman"/>
                <w:color w:val="000000"/>
                <w:sz w:val="20"/>
                <w:szCs w:val="20"/>
                <w:lang w:eastAsia="fr-FR"/>
              </w:rPr>
              <w:t>Q4429</w:t>
            </w:r>
          </w:p>
        </w:tc>
        <w:tc>
          <w:tcPr>
            <w:tcW w:w="809" w:type="pct"/>
            <w:gridSpan w:val="2"/>
            <w:tcBorders>
              <w:top w:val="nil"/>
              <w:left w:val="nil"/>
              <w:bottom w:val="single" w:sz="4" w:space="0" w:color="5B9BD5"/>
              <w:right w:val="single" w:sz="4" w:space="0" w:color="5B9BD5"/>
            </w:tcBorders>
            <w:shd w:val="clear" w:color="000000" w:fill="FFFFFF"/>
            <w:noWrap/>
            <w:vAlign w:val="bottom"/>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r w:rsidRPr="004E3854">
              <w:rPr>
                <w:rFonts w:ascii="Calibri" w:eastAsia="Calibri" w:hAnsi="Calibri" w:cs="Times New Roman"/>
                <w:color w:val="000000"/>
                <w:sz w:val="20"/>
                <w:szCs w:val="20"/>
                <w:lang w:eastAsia="fr-FR"/>
              </w:rPr>
              <w:t>90 364 809</w:t>
            </w:r>
          </w:p>
        </w:tc>
        <w:tc>
          <w:tcPr>
            <w:tcW w:w="104" w:type="pct"/>
            <w:tcBorders>
              <w:top w:val="nil"/>
              <w:left w:val="nil"/>
              <w:bottom w:val="single" w:sz="4" w:space="0" w:color="5B9BD5"/>
              <w:right w:val="single" w:sz="4" w:space="0" w:color="5B9BD5"/>
            </w:tcBorders>
            <w:shd w:val="clear" w:color="000000" w:fill="FFFFFF"/>
            <w:noWrap/>
            <w:vAlign w:val="bottom"/>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p>
        </w:tc>
        <w:tc>
          <w:tcPr>
            <w:tcW w:w="933" w:type="pct"/>
            <w:gridSpan w:val="4"/>
            <w:tcBorders>
              <w:top w:val="nil"/>
              <w:left w:val="nil"/>
              <w:bottom w:val="single" w:sz="4" w:space="0" w:color="5B9BD5"/>
              <w:right w:val="single" w:sz="4" w:space="0" w:color="5B9BD5"/>
            </w:tcBorders>
            <w:shd w:val="clear" w:color="000000" w:fill="FFFFFF"/>
            <w:noWrap/>
            <w:vAlign w:val="bottom"/>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r w:rsidRPr="004E3854">
              <w:rPr>
                <w:rFonts w:ascii="Calibri" w:eastAsia="Calibri" w:hAnsi="Calibri" w:cs="Times New Roman"/>
                <w:color w:val="000000"/>
                <w:sz w:val="20"/>
                <w:szCs w:val="20"/>
                <w:lang w:eastAsia="fr-FR"/>
              </w:rPr>
              <w:t>37 232 044</w:t>
            </w:r>
          </w:p>
        </w:tc>
      </w:tr>
      <w:tr w:rsidR="004E3854" w:rsidRPr="004E3854" w:rsidTr="00040563">
        <w:trPr>
          <w:gridAfter w:val="1"/>
          <w:wAfter w:w="25" w:type="pct"/>
          <w:trHeight w:val="262"/>
          <w:jc w:val="center"/>
        </w:trPr>
        <w:tc>
          <w:tcPr>
            <w:tcW w:w="628" w:type="pct"/>
            <w:tcBorders>
              <w:top w:val="nil"/>
              <w:left w:val="nil"/>
              <w:bottom w:val="nil"/>
              <w:right w:val="nil"/>
            </w:tcBorders>
            <w:shd w:val="clear" w:color="auto" w:fill="auto"/>
            <w:noWrap/>
            <w:vAlign w:val="bottom"/>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p>
        </w:tc>
        <w:tc>
          <w:tcPr>
            <w:tcW w:w="786" w:type="pct"/>
            <w:gridSpan w:val="3"/>
            <w:tcBorders>
              <w:top w:val="nil"/>
              <w:left w:val="nil"/>
              <w:bottom w:val="nil"/>
              <w:right w:val="nil"/>
            </w:tcBorders>
            <w:shd w:val="clear" w:color="auto" w:fill="auto"/>
            <w:noWrap/>
            <w:vAlign w:val="bottom"/>
            <w:hideMark/>
          </w:tcPr>
          <w:p w:rsidR="004E3854" w:rsidRPr="004E3854" w:rsidRDefault="004E3854" w:rsidP="004E3854">
            <w:pPr>
              <w:spacing w:after="0" w:line="276" w:lineRule="auto"/>
              <w:jc w:val="both"/>
              <w:rPr>
                <w:rFonts w:ascii="Times New Roman" w:eastAsia="Calibri" w:hAnsi="Times New Roman" w:cs="Times New Roman"/>
                <w:bCs/>
                <w:sz w:val="20"/>
                <w:szCs w:val="20"/>
                <w:lang w:eastAsia="fr-FR"/>
              </w:rPr>
            </w:pPr>
          </w:p>
        </w:tc>
        <w:tc>
          <w:tcPr>
            <w:tcW w:w="949" w:type="pct"/>
            <w:gridSpan w:val="2"/>
            <w:tcBorders>
              <w:top w:val="nil"/>
              <w:left w:val="nil"/>
              <w:bottom w:val="nil"/>
              <w:right w:val="nil"/>
            </w:tcBorders>
            <w:shd w:val="clear" w:color="auto" w:fill="auto"/>
            <w:noWrap/>
            <w:vAlign w:val="bottom"/>
            <w:hideMark/>
          </w:tcPr>
          <w:p w:rsidR="004E3854" w:rsidRPr="004E3854" w:rsidRDefault="004E3854" w:rsidP="004E3854">
            <w:pPr>
              <w:spacing w:after="0" w:line="276" w:lineRule="auto"/>
              <w:jc w:val="both"/>
              <w:rPr>
                <w:rFonts w:ascii="Times New Roman" w:eastAsia="Calibri" w:hAnsi="Times New Roman" w:cs="Times New Roman"/>
                <w:bCs/>
                <w:sz w:val="20"/>
                <w:szCs w:val="20"/>
                <w:lang w:eastAsia="fr-FR"/>
              </w:rPr>
            </w:pPr>
          </w:p>
        </w:tc>
        <w:tc>
          <w:tcPr>
            <w:tcW w:w="155" w:type="pct"/>
            <w:gridSpan w:val="2"/>
            <w:tcBorders>
              <w:top w:val="nil"/>
              <w:left w:val="nil"/>
              <w:bottom w:val="nil"/>
              <w:right w:val="nil"/>
            </w:tcBorders>
            <w:shd w:val="clear" w:color="000000" w:fill="FFFFFF"/>
            <w:noWrap/>
            <w:vAlign w:val="bottom"/>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r w:rsidRPr="004E3854">
              <w:rPr>
                <w:rFonts w:ascii="Calibri" w:eastAsia="Calibri" w:hAnsi="Calibri" w:cs="Times New Roman"/>
                <w:color w:val="000000"/>
                <w:sz w:val="20"/>
                <w:szCs w:val="20"/>
                <w:lang w:eastAsia="fr-FR"/>
              </w:rPr>
              <w:t> </w:t>
            </w:r>
          </w:p>
        </w:tc>
        <w:tc>
          <w:tcPr>
            <w:tcW w:w="790" w:type="pct"/>
            <w:gridSpan w:val="2"/>
            <w:tcBorders>
              <w:top w:val="nil"/>
              <w:left w:val="nil"/>
              <w:bottom w:val="nil"/>
              <w:right w:val="nil"/>
            </w:tcBorders>
            <w:shd w:val="clear" w:color="auto" w:fill="auto"/>
            <w:noWrap/>
            <w:vAlign w:val="bottom"/>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p>
        </w:tc>
        <w:tc>
          <w:tcPr>
            <w:tcW w:w="822" w:type="pct"/>
            <w:gridSpan w:val="3"/>
            <w:tcBorders>
              <w:top w:val="nil"/>
              <w:left w:val="nil"/>
              <w:bottom w:val="nil"/>
              <w:right w:val="nil"/>
            </w:tcBorders>
            <w:shd w:val="clear" w:color="auto" w:fill="auto"/>
            <w:noWrap/>
            <w:vAlign w:val="bottom"/>
            <w:hideMark/>
          </w:tcPr>
          <w:p w:rsidR="004E3854" w:rsidRPr="004E3854" w:rsidRDefault="004E3854" w:rsidP="004E3854">
            <w:pPr>
              <w:spacing w:after="0" w:line="276" w:lineRule="auto"/>
              <w:jc w:val="both"/>
              <w:rPr>
                <w:rFonts w:ascii="Times New Roman" w:eastAsia="Calibri" w:hAnsi="Times New Roman" w:cs="Times New Roman"/>
                <w:bCs/>
                <w:sz w:val="20"/>
                <w:szCs w:val="20"/>
                <w:lang w:eastAsia="fr-FR"/>
              </w:rPr>
            </w:pPr>
          </w:p>
        </w:tc>
        <w:tc>
          <w:tcPr>
            <w:tcW w:w="103" w:type="pct"/>
            <w:tcBorders>
              <w:top w:val="nil"/>
              <w:left w:val="nil"/>
              <w:bottom w:val="nil"/>
              <w:right w:val="nil"/>
            </w:tcBorders>
            <w:shd w:val="clear" w:color="000000" w:fill="FFFFFF"/>
            <w:noWrap/>
            <w:vAlign w:val="bottom"/>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r w:rsidRPr="004E3854">
              <w:rPr>
                <w:rFonts w:ascii="Calibri" w:eastAsia="Calibri" w:hAnsi="Calibri" w:cs="Times New Roman"/>
                <w:color w:val="000000"/>
                <w:sz w:val="20"/>
                <w:szCs w:val="20"/>
                <w:lang w:eastAsia="fr-FR"/>
              </w:rPr>
              <w:t> </w:t>
            </w:r>
          </w:p>
        </w:tc>
        <w:tc>
          <w:tcPr>
            <w:tcW w:w="743" w:type="pct"/>
            <w:tcBorders>
              <w:top w:val="nil"/>
              <w:left w:val="nil"/>
              <w:bottom w:val="nil"/>
              <w:right w:val="nil"/>
            </w:tcBorders>
            <w:shd w:val="clear" w:color="auto" w:fill="auto"/>
            <w:noWrap/>
            <w:vAlign w:val="bottom"/>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p>
        </w:tc>
      </w:tr>
      <w:tr w:rsidR="00040563" w:rsidRPr="004E3854" w:rsidTr="00040563">
        <w:trPr>
          <w:gridAfter w:val="1"/>
          <w:wAfter w:w="25" w:type="pct"/>
          <w:trHeight w:val="262"/>
          <w:jc w:val="center"/>
        </w:trPr>
        <w:tc>
          <w:tcPr>
            <w:tcW w:w="628" w:type="pct"/>
            <w:vMerge w:val="restar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r w:rsidRPr="004E3854">
              <w:rPr>
                <w:rFonts w:ascii="Calibri" w:eastAsia="Calibri" w:hAnsi="Calibri" w:cs="Times New Roman"/>
                <w:color w:val="000000"/>
                <w:sz w:val="20"/>
                <w:szCs w:val="20"/>
                <w:lang w:eastAsia="fr-FR"/>
              </w:rPr>
              <w:t>MMG KINSEVERE</w:t>
            </w:r>
          </w:p>
        </w:tc>
        <w:tc>
          <w:tcPr>
            <w:tcW w:w="786" w:type="pct"/>
            <w:gridSpan w:val="3"/>
            <w:tcBorders>
              <w:top w:val="single" w:sz="4" w:space="0" w:color="5B9BD5"/>
              <w:left w:val="nil"/>
              <w:bottom w:val="single" w:sz="4" w:space="0" w:color="5B9BD5"/>
              <w:right w:val="single" w:sz="4" w:space="0" w:color="5B9BD5"/>
            </w:tcBorders>
            <w:shd w:val="clear" w:color="000000" w:fill="1F4E78"/>
            <w:vAlign w:val="center"/>
            <w:hideMark/>
          </w:tcPr>
          <w:p w:rsidR="004E3854" w:rsidRPr="004E3854" w:rsidRDefault="004E3854" w:rsidP="004E3854">
            <w:pPr>
              <w:spacing w:after="0" w:line="276" w:lineRule="auto"/>
              <w:jc w:val="both"/>
              <w:rPr>
                <w:rFonts w:ascii="Calibri" w:eastAsia="Calibri" w:hAnsi="Calibri" w:cs="Times New Roman"/>
                <w:b/>
                <w:color w:val="FFFFFF"/>
                <w:sz w:val="20"/>
                <w:szCs w:val="20"/>
                <w:lang w:eastAsia="fr-FR"/>
              </w:rPr>
            </w:pPr>
            <w:r w:rsidRPr="004E3854">
              <w:rPr>
                <w:rFonts w:ascii="Calibri" w:eastAsia="Calibri" w:hAnsi="Calibri" w:cs="Times New Roman"/>
                <w:b/>
                <w:color w:val="FFFFFF"/>
                <w:sz w:val="20"/>
                <w:szCs w:val="20"/>
                <w:lang w:eastAsia="fr-FR"/>
              </w:rPr>
              <w:t>N° Quittance</w:t>
            </w:r>
          </w:p>
        </w:tc>
        <w:tc>
          <w:tcPr>
            <w:tcW w:w="949" w:type="pct"/>
            <w:gridSpan w:val="2"/>
            <w:tcBorders>
              <w:top w:val="single" w:sz="4" w:space="0" w:color="5B9BD5"/>
              <w:left w:val="nil"/>
              <w:bottom w:val="single" w:sz="4" w:space="0" w:color="5B9BD5"/>
              <w:right w:val="single" w:sz="4" w:space="0" w:color="5B9BD5"/>
            </w:tcBorders>
            <w:shd w:val="clear" w:color="000000" w:fill="1F4E78"/>
            <w:vAlign w:val="center"/>
            <w:hideMark/>
          </w:tcPr>
          <w:p w:rsidR="004E3854" w:rsidRPr="004E3854" w:rsidRDefault="004E3854" w:rsidP="004E3854">
            <w:pPr>
              <w:spacing w:after="0" w:line="276" w:lineRule="auto"/>
              <w:jc w:val="both"/>
              <w:rPr>
                <w:rFonts w:ascii="Calibri" w:eastAsia="Calibri" w:hAnsi="Calibri" w:cs="Times New Roman"/>
                <w:b/>
                <w:color w:val="FFFFFF"/>
                <w:sz w:val="20"/>
                <w:szCs w:val="20"/>
                <w:lang w:eastAsia="fr-FR"/>
              </w:rPr>
            </w:pPr>
            <w:r w:rsidRPr="004E3854">
              <w:rPr>
                <w:rFonts w:ascii="Calibri" w:eastAsia="Calibri" w:hAnsi="Calibri" w:cs="Times New Roman"/>
                <w:b/>
                <w:color w:val="FFFFFF"/>
                <w:sz w:val="20"/>
                <w:szCs w:val="20"/>
                <w:lang w:eastAsia="fr-FR"/>
              </w:rPr>
              <w:t xml:space="preserve"> Société </w:t>
            </w:r>
          </w:p>
        </w:tc>
        <w:tc>
          <w:tcPr>
            <w:tcW w:w="155" w:type="pct"/>
            <w:gridSpan w:val="2"/>
            <w:tcBorders>
              <w:top w:val="single" w:sz="4" w:space="0" w:color="5B9BD5"/>
              <w:left w:val="nil"/>
              <w:bottom w:val="single" w:sz="4" w:space="0" w:color="5B9BD5"/>
              <w:right w:val="single" w:sz="4" w:space="0" w:color="5B9BD5"/>
            </w:tcBorders>
            <w:shd w:val="clear" w:color="000000" w:fill="FFFFFF"/>
            <w:noWrap/>
            <w:vAlign w:val="bottom"/>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r w:rsidRPr="004E3854">
              <w:rPr>
                <w:rFonts w:ascii="Calibri" w:eastAsia="Calibri" w:hAnsi="Calibri" w:cs="Times New Roman"/>
                <w:color w:val="000000"/>
                <w:sz w:val="20"/>
                <w:szCs w:val="20"/>
                <w:lang w:eastAsia="fr-FR"/>
              </w:rPr>
              <w:t> </w:t>
            </w:r>
          </w:p>
        </w:tc>
        <w:tc>
          <w:tcPr>
            <w:tcW w:w="790" w:type="pct"/>
            <w:gridSpan w:val="2"/>
            <w:tcBorders>
              <w:top w:val="single" w:sz="4" w:space="0" w:color="5B9BD5"/>
              <w:left w:val="nil"/>
              <w:bottom w:val="single" w:sz="4" w:space="0" w:color="5B9BD5"/>
              <w:right w:val="single" w:sz="4" w:space="0" w:color="5B9BD5"/>
            </w:tcBorders>
            <w:shd w:val="clear" w:color="000000" w:fill="1F4E78"/>
            <w:vAlign w:val="center"/>
            <w:hideMark/>
          </w:tcPr>
          <w:p w:rsidR="004E3854" w:rsidRPr="004E3854" w:rsidRDefault="004E3854" w:rsidP="004E3854">
            <w:pPr>
              <w:spacing w:after="0" w:line="276" w:lineRule="auto"/>
              <w:jc w:val="both"/>
              <w:rPr>
                <w:rFonts w:ascii="Calibri" w:eastAsia="Calibri" w:hAnsi="Calibri" w:cs="Times New Roman"/>
                <w:b/>
                <w:color w:val="FFFFFF"/>
                <w:sz w:val="20"/>
                <w:szCs w:val="20"/>
                <w:lang w:eastAsia="fr-FR"/>
              </w:rPr>
            </w:pPr>
            <w:r w:rsidRPr="004E3854">
              <w:rPr>
                <w:rFonts w:ascii="Calibri" w:eastAsia="Calibri" w:hAnsi="Calibri" w:cs="Times New Roman"/>
                <w:b/>
                <w:color w:val="FFFFFF"/>
                <w:sz w:val="20"/>
                <w:szCs w:val="20"/>
                <w:lang w:eastAsia="fr-FR"/>
              </w:rPr>
              <w:t xml:space="preserve"> N° Quittance </w:t>
            </w:r>
          </w:p>
        </w:tc>
        <w:tc>
          <w:tcPr>
            <w:tcW w:w="822" w:type="pct"/>
            <w:gridSpan w:val="3"/>
            <w:tcBorders>
              <w:top w:val="single" w:sz="4" w:space="0" w:color="5B9BD5"/>
              <w:left w:val="nil"/>
              <w:bottom w:val="single" w:sz="4" w:space="0" w:color="5B9BD5"/>
              <w:right w:val="single" w:sz="4" w:space="0" w:color="5B9BD5"/>
            </w:tcBorders>
            <w:shd w:val="clear" w:color="000000" w:fill="1F4E78"/>
            <w:vAlign w:val="center"/>
            <w:hideMark/>
          </w:tcPr>
          <w:p w:rsidR="004E3854" w:rsidRPr="004E3854" w:rsidRDefault="004E3854" w:rsidP="004E3854">
            <w:pPr>
              <w:spacing w:after="0" w:line="276" w:lineRule="auto"/>
              <w:jc w:val="both"/>
              <w:rPr>
                <w:rFonts w:ascii="Calibri" w:eastAsia="Calibri" w:hAnsi="Calibri" w:cs="Times New Roman"/>
                <w:b/>
                <w:color w:val="FFFFFF"/>
                <w:sz w:val="20"/>
                <w:szCs w:val="20"/>
                <w:lang w:eastAsia="fr-FR"/>
              </w:rPr>
            </w:pPr>
            <w:r w:rsidRPr="004E3854">
              <w:rPr>
                <w:rFonts w:ascii="Calibri" w:eastAsia="Calibri" w:hAnsi="Calibri" w:cs="Times New Roman"/>
                <w:b/>
                <w:color w:val="FFFFFF"/>
                <w:sz w:val="20"/>
                <w:szCs w:val="20"/>
                <w:lang w:eastAsia="fr-FR"/>
              </w:rPr>
              <w:t xml:space="preserve"> DGDA </w:t>
            </w:r>
          </w:p>
        </w:tc>
        <w:tc>
          <w:tcPr>
            <w:tcW w:w="103" w:type="pct"/>
            <w:tcBorders>
              <w:top w:val="single" w:sz="4" w:space="0" w:color="5B9BD5"/>
              <w:left w:val="nil"/>
              <w:bottom w:val="single" w:sz="4" w:space="0" w:color="5B9BD5"/>
              <w:right w:val="single" w:sz="4" w:space="0" w:color="5B9BD5"/>
            </w:tcBorders>
            <w:shd w:val="clear" w:color="000000" w:fill="FFFFFF"/>
            <w:noWrap/>
            <w:vAlign w:val="bottom"/>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r w:rsidRPr="004E3854">
              <w:rPr>
                <w:rFonts w:ascii="Calibri" w:eastAsia="Calibri" w:hAnsi="Calibri" w:cs="Times New Roman"/>
                <w:color w:val="000000"/>
                <w:sz w:val="20"/>
                <w:szCs w:val="20"/>
                <w:lang w:eastAsia="fr-FR"/>
              </w:rPr>
              <w:t> </w:t>
            </w:r>
          </w:p>
        </w:tc>
        <w:tc>
          <w:tcPr>
            <w:tcW w:w="743" w:type="pct"/>
            <w:tcBorders>
              <w:top w:val="single" w:sz="4" w:space="0" w:color="5B9BD5"/>
              <w:left w:val="nil"/>
              <w:bottom w:val="single" w:sz="4" w:space="0" w:color="5B9BD5"/>
              <w:right w:val="single" w:sz="4" w:space="0" w:color="5B9BD5"/>
            </w:tcBorders>
            <w:shd w:val="clear" w:color="000000" w:fill="1F4E78"/>
            <w:vAlign w:val="center"/>
            <w:hideMark/>
          </w:tcPr>
          <w:p w:rsidR="004E3854" w:rsidRPr="004E3854" w:rsidRDefault="004E3854" w:rsidP="004E3854">
            <w:pPr>
              <w:spacing w:after="0" w:line="276" w:lineRule="auto"/>
              <w:jc w:val="both"/>
              <w:rPr>
                <w:rFonts w:ascii="Calibri" w:eastAsia="Calibri" w:hAnsi="Calibri" w:cs="Times New Roman"/>
                <w:b/>
                <w:color w:val="FFFFFF"/>
                <w:sz w:val="20"/>
                <w:szCs w:val="20"/>
                <w:lang w:eastAsia="fr-FR"/>
              </w:rPr>
            </w:pPr>
            <w:r w:rsidRPr="004E3854">
              <w:rPr>
                <w:rFonts w:ascii="Calibri" w:eastAsia="Calibri" w:hAnsi="Calibri" w:cs="Times New Roman"/>
                <w:b/>
                <w:color w:val="FFFFFF"/>
                <w:sz w:val="20"/>
                <w:szCs w:val="20"/>
                <w:lang w:eastAsia="fr-FR"/>
              </w:rPr>
              <w:t xml:space="preserve"> ECART en CDF </w:t>
            </w:r>
          </w:p>
        </w:tc>
      </w:tr>
      <w:tr w:rsidR="00040563" w:rsidRPr="004E3854" w:rsidTr="00040563">
        <w:trPr>
          <w:gridAfter w:val="1"/>
          <w:wAfter w:w="25" w:type="pct"/>
          <w:trHeight w:val="262"/>
          <w:jc w:val="center"/>
        </w:trPr>
        <w:tc>
          <w:tcPr>
            <w:tcW w:w="628" w:type="pct"/>
            <w:vMerge/>
            <w:tcBorders>
              <w:top w:val="single" w:sz="4" w:space="0" w:color="5B9BD5"/>
              <w:left w:val="single" w:sz="4" w:space="0" w:color="5B9BD5"/>
              <w:bottom w:val="single" w:sz="4" w:space="0" w:color="5B9BD5"/>
              <w:right w:val="single" w:sz="4" w:space="0" w:color="5B9BD5"/>
            </w:tcBorders>
            <w:vAlign w:val="center"/>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p>
        </w:tc>
        <w:tc>
          <w:tcPr>
            <w:tcW w:w="786" w:type="pct"/>
            <w:gridSpan w:val="3"/>
            <w:tcBorders>
              <w:top w:val="nil"/>
              <w:left w:val="nil"/>
              <w:bottom w:val="single" w:sz="4" w:space="0" w:color="5B9BD5"/>
              <w:right w:val="single" w:sz="4" w:space="0" w:color="5B9BD5"/>
            </w:tcBorders>
            <w:shd w:val="clear" w:color="000000" w:fill="FFFFFF"/>
            <w:noWrap/>
            <w:vAlign w:val="bottom"/>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r w:rsidRPr="004E3854">
              <w:rPr>
                <w:rFonts w:ascii="Calibri" w:eastAsia="Calibri" w:hAnsi="Calibri" w:cs="Times New Roman"/>
                <w:color w:val="000000"/>
                <w:sz w:val="20"/>
                <w:szCs w:val="20"/>
                <w:lang w:eastAsia="fr-FR"/>
              </w:rPr>
              <w:t>Q5055</w:t>
            </w:r>
          </w:p>
        </w:tc>
        <w:tc>
          <w:tcPr>
            <w:tcW w:w="949" w:type="pct"/>
            <w:gridSpan w:val="2"/>
            <w:tcBorders>
              <w:top w:val="nil"/>
              <w:left w:val="nil"/>
              <w:bottom w:val="single" w:sz="4" w:space="0" w:color="5B9BD5"/>
              <w:right w:val="single" w:sz="4" w:space="0" w:color="5B9BD5"/>
            </w:tcBorders>
            <w:shd w:val="clear" w:color="000000" w:fill="FFFFFF"/>
            <w:noWrap/>
            <w:vAlign w:val="bottom"/>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r w:rsidRPr="004E3854">
              <w:rPr>
                <w:rFonts w:ascii="Calibri" w:eastAsia="Calibri" w:hAnsi="Calibri" w:cs="Times New Roman"/>
                <w:color w:val="000000"/>
                <w:sz w:val="20"/>
                <w:szCs w:val="20"/>
                <w:lang w:eastAsia="fr-FR"/>
              </w:rPr>
              <w:t>4 000 677</w:t>
            </w:r>
          </w:p>
        </w:tc>
        <w:tc>
          <w:tcPr>
            <w:tcW w:w="155" w:type="pct"/>
            <w:gridSpan w:val="2"/>
            <w:tcBorders>
              <w:top w:val="nil"/>
              <w:left w:val="nil"/>
              <w:bottom w:val="single" w:sz="4" w:space="0" w:color="5B9BD5"/>
              <w:right w:val="single" w:sz="4" w:space="0" w:color="5B9BD5"/>
            </w:tcBorders>
            <w:shd w:val="clear" w:color="000000" w:fill="FFFFFF"/>
            <w:noWrap/>
            <w:vAlign w:val="bottom"/>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p>
        </w:tc>
        <w:tc>
          <w:tcPr>
            <w:tcW w:w="790" w:type="pct"/>
            <w:gridSpan w:val="2"/>
            <w:tcBorders>
              <w:top w:val="nil"/>
              <w:left w:val="nil"/>
              <w:bottom w:val="single" w:sz="4" w:space="0" w:color="5B9BD5"/>
              <w:right w:val="single" w:sz="4" w:space="0" w:color="5B9BD5"/>
            </w:tcBorders>
            <w:shd w:val="clear" w:color="000000" w:fill="FFFFFF"/>
            <w:noWrap/>
            <w:vAlign w:val="bottom"/>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r w:rsidRPr="004E3854">
              <w:rPr>
                <w:rFonts w:ascii="Calibri" w:eastAsia="Calibri" w:hAnsi="Calibri" w:cs="Times New Roman"/>
                <w:color w:val="000000"/>
                <w:sz w:val="20"/>
                <w:szCs w:val="20"/>
                <w:lang w:eastAsia="fr-FR"/>
              </w:rPr>
              <w:t>Q5055</w:t>
            </w:r>
          </w:p>
        </w:tc>
        <w:tc>
          <w:tcPr>
            <w:tcW w:w="822" w:type="pct"/>
            <w:gridSpan w:val="3"/>
            <w:tcBorders>
              <w:top w:val="nil"/>
              <w:left w:val="nil"/>
              <w:bottom w:val="single" w:sz="4" w:space="0" w:color="5B9BD5"/>
              <w:right w:val="single" w:sz="4" w:space="0" w:color="5B9BD5"/>
            </w:tcBorders>
            <w:shd w:val="clear" w:color="000000" w:fill="FFFFFF"/>
            <w:noWrap/>
            <w:vAlign w:val="bottom"/>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r w:rsidRPr="004E3854">
              <w:rPr>
                <w:rFonts w:ascii="Calibri" w:eastAsia="Calibri" w:hAnsi="Calibri" w:cs="Times New Roman"/>
                <w:color w:val="000000"/>
                <w:sz w:val="20"/>
                <w:szCs w:val="20"/>
                <w:lang w:eastAsia="fr-FR"/>
              </w:rPr>
              <w:t>1 925 011</w:t>
            </w:r>
          </w:p>
        </w:tc>
        <w:tc>
          <w:tcPr>
            <w:tcW w:w="103" w:type="pct"/>
            <w:tcBorders>
              <w:top w:val="nil"/>
              <w:left w:val="nil"/>
              <w:bottom w:val="single" w:sz="4" w:space="0" w:color="5B9BD5"/>
              <w:right w:val="single" w:sz="4" w:space="0" w:color="5B9BD5"/>
            </w:tcBorders>
            <w:shd w:val="clear" w:color="000000" w:fill="FFFFFF"/>
            <w:noWrap/>
            <w:vAlign w:val="bottom"/>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p>
        </w:tc>
        <w:tc>
          <w:tcPr>
            <w:tcW w:w="743" w:type="pct"/>
            <w:tcBorders>
              <w:top w:val="nil"/>
              <w:left w:val="nil"/>
              <w:bottom w:val="single" w:sz="4" w:space="0" w:color="5B9BD5"/>
              <w:right w:val="single" w:sz="4" w:space="0" w:color="5B9BD5"/>
            </w:tcBorders>
            <w:shd w:val="clear" w:color="000000" w:fill="FFFFFF"/>
            <w:noWrap/>
            <w:vAlign w:val="bottom"/>
            <w:hideMark/>
          </w:tcPr>
          <w:p w:rsidR="004E3854" w:rsidRPr="004E3854" w:rsidRDefault="004E3854" w:rsidP="004E3854">
            <w:pPr>
              <w:spacing w:after="0" w:line="276" w:lineRule="auto"/>
              <w:jc w:val="both"/>
              <w:rPr>
                <w:rFonts w:ascii="Calibri" w:eastAsia="Calibri" w:hAnsi="Calibri" w:cs="Times New Roman"/>
                <w:bCs/>
                <w:color w:val="000000"/>
                <w:sz w:val="20"/>
                <w:szCs w:val="20"/>
                <w:lang w:eastAsia="fr-FR"/>
              </w:rPr>
            </w:pPr>
            <w:r w:rsidRPr="004E3854">
              <w:rPr>
                <w:rFonts w:ascii="Calibri" w:eastAsia="Calibri" w:hAnsi="Calibri" w:cs="Times New Roman"/>
                <w:color w:val="000000"/>
                <w:sz w:val="20"/>
                <w:szCs w:val="20"/>
                <w:lang w:eastAsia="fr-FR"/>
              </w:rPr>
              <w:t>2 075 666</w:t>
            </w:r>
          </w:p>
        </w:tc>
      </w:tr>
    </w:tbl>
    <w:p w:rsidR="004E3854" w:rsidRPr="004E3854" w:rsidRDefault="004E3854" w:rsidP="004E3854">
      <w:pPr>
        <w:spacing w:after="200" w:line="360" w:lineRule="auto"/>
        <w:ind w:left="720"/>
        <w:contextualSpacing/>
        <w:rPr>
          <w:rFonts w:ascii="Calibri" w:eastAsia="Calibri" w:hAnsi="Calibri" w:cs="Times New Roman"/>
          <w:sz w:val="6"/>
          <w:szCs w:val="20"/>
        </w:rPr>
      </w:pPr>
    </w:p>
    <w:p w:rsidR="004E3854" w:rsidRPr="00040563" w:rsidRDefault="004E3854" w:rsidP="004E3854">
      <w:pPr>
        <w:tabs>
          <w:tab w:val="left" w:pos="142"/>
        </w:tabs>
        <w:spacing w:after="200" w:line="360" w:lineRule="auto"/>
        <w:ind w:left="709" w:right="-284"/>
        <w:contextualSpacing/>
        <w:jc w:val="both"/>
        <w:rPr>
          <w:rFonts w:ascii="Calibri" w:eastAsia="Calibri" w:hAnsi="Calibri" w:cs="Times New Roman"/>
          <w:sz w:val="2"/>
          <w:szCs w:val="28"/>
        </w:rPr>
      </w:pPr>
    </w:p>
    <w:p w:rsidR="00040563" w:rsidRPr="006F1B8E" w:rsidRDefault="00040563" w:rsidP="00040563">
      <w:pPr>
        <w:tabs>
          <w:tab w:val="left" w:pos="142"/>
        </w:tabs>
        <w:spacing w:after="200" w:line="360" w:lineRule="auto"/>
        <w:ind w:left="709" w:right="-284" w:hanging="709"/>
        <w:contextualSpacing/>
        <w:jc w:val="both"/>
        <w:rPr>
          <w:rFonts w:ascii="Calibri" w:eastAsia="Calibri" w:hAnsi="Calibri" w:cs="Times New Roman"/>
          <w:sz w:val="2"/>
          <w:szCs w:val="28"/>
        </w:rPr>
      </w:pPr>
    </w:p>
    <w:p w:rsidR="00A36579" w:rsidRDefault="00A36579" w:rsidP="006F1B8E">
      <w:pPr>
        <w:spacing w:after="0" w:line="240" w:lineRule="auto"/>
        <w:ind w:right="-142"/>
        <w:jc w:val="both"/>
        <w:rPr>
          <w:rFonts w:ascii="Garamond" w:hAnsi="Garamond"/>
          <w:sz w:val="28"/>
          <w:szCs w:val="28"/>
        </w:rPr>
      </w:pPr>
      <w:r>
        <w:rPr>
          <w:rFonts w:ascii="Garamond" w:hAnsi="Garamond"/>
          <w:sz w:val="28"/>
          <w:szCs w:val="28"/>
        </w:rPr>
        <w:t>A la question de savoir comment les informations tirées à partir d’un même système, SYDONIA, produiraient des discordances ; la DGDA admet avoir commis une erreur lors de l’extraction de sa déclaration ITIE-RDC</w:t>
      </w:r>
      <w:r w:rsidR="0070298A">
        <w:rPr>
          <w:rFonts w:ascii="Garamond" w:hAnsi="Garamond"/>
          <w:sz w:val="28"/>
          <w:szCs w:val="28"/>
        </w:rPr>
        <w:t xml:space="preserve"> 2014</w:t>
      </w:r>
      <w:r>
        <w:rPr>
          <w:rFonts w:ascii="Garamond" w:hAnsi="Garamond"/>
          <w:sz w:val="28"/>
          <w:szCs w:val="28"/>
        </w:rPr>
        <w:t xml:space="preserve"> en ne reprenant pas les paiements des miniers effectués suivant le régime de droit commun</w:t>
      </w:r>
      <w:r w:rsidR="00994C30">
        <w:rPr>
          <w:rFonts w:ascii="Garamond" w:hAnsi="Garamond"/>
          <w:sz w:val="28"/>
          <w:szCs w:val="28"/>
        </w:rPr>
        <w:t>. A cela elle</w:t>
      </w:r>
      <w:r>
        <w:rPr>
          <w:rFonts w:ascii="Garamond" w:hAnsi="Garamond"/>
          <w:sz w:val="28"/>
          <w:szCs w:val="28"/>
        </w:rPr>
        <w:t xml:space="preserve"> </w:t>
      </w:r>
      <w:r w:rsidR="00994C30">
        <w:rPr>
          <w:rFonts w:ascii="Garamond" w:hAnsi="Garamond"/>
          <w:sz w:val="28"/>
          <w:szCs w:val="28"/>
        </w:rPr>
        <w:t>a ajouté</w:t>
      </w:r>
      <w:r w:rsidR="006F1B8E">
        <w:rPr>
          <w:rFonts w:ascii="Garamond" w:hAnsi="Garamond"/>
          <w:sz w:val="28"/>
          <w:szCs w:val="28"/>
        </w:rPr>
        <w:t xml:space="preserve"> comme difficulté rencontrée lors de la préparation de sa déclaration</w:t>
      </w:r>
      <w:r>
        <w:rPr>
          <w:rFonts w:ascii="Garamond" w:hAnsi="Garamond"/>
          <w:sz w:val="28"/>
          <w:szCs w:val="28"/>
        </w:rPr>
        <w:t xml:space="preserve"> :  </w:t>
      </w:r>
    </w:p>
    <w:p w:rsidR="006F1B8E" w:rsidRPr="006F1B8E" w:rsidRDefault="006F1B8E" w:rsidP="006F1B8E">
      <w:pPr>
        <w:spacing w:after="0" w:line="276" w:lineRule="auto"/>
        <w:ind w:right="-142"/>
        <w:jc w:val="both"/>
        <w:rPr>
          <w:rFonts w:ascii="Garamond" w:hAnsi="Garamond"/>
          <w:sz w:val="2"/>
          <w:szCs w:val="28"/>
        </w:rPr>
      </w:pPr>
    </w:p>
    <w:p w:rsidR="00040563" w:rsidRDefault="00040563" w:rsidP="006F1B8E">
      <w:pPr>
        <w:pStyle w:val="Paragraphedeliste"/>
        <w:numPr>
          <w:ilvl w:val="0"/>
          <w:numId w:val="12"/>
        </w:numPr>
        <w:spacing w:after="0" w:line="240" w:lineRule="auto"/>
        <w:ind w:right="-142"/>
        <w:jc w:val="both"/>
        <w:rPr>
          <w:rFonts w:ascii="Garamond" w:hAnsi="Garamond"/>
          <w:sz w:val="28"/>
          <w:szCs w:val="28"/>
        </w:rPr>
      </w:pPr>
      <w:r>
        <w:rPr>
          <w:rFonts w:ascii="Garamond" w:hAnsi="Garamond"/>
          <w:sz w:val="28"/>
          <w:szCs w:val="28"/>
        </w:rPr>
        <w:t>la multiplicité de</w:t>
      </w:r>
      <w:r w:rsidR="00A36579">
        <w:rPr>
          <w:rFonts w:ascii="Garamond" w:hAnsi="Garamond"/>
          <w:sz w:val="28"/>
          <w:szCs w:val="28"/>
        </w:rPr>
        <w:t>s</w:t>
      </w:r>
      <w:r>
        <w:rPr>
          <w:rFonts w:ascii="Garamond" w:hAnsi="Garamond"/>
          <w:sz w:val="28"/>
          <w:szCs w:val="28"/>
        </w:rPr>
        <w:t xml:space="preserve"> NIF : jusqu’en début 2015 une seule entreprise pouvait se retrouver avec plusieurs NIF ;</w:t>
      </w:r>
    </w:p>
    <w:p w:rsidR="006F1B8E" w:rsidRDefault="00040563" w:rsidP="006F1B8E">
      <w:pPr>
        <w:pStyle w:val="Paragraphedeliste"/>
        <w:numPr>
          <w:ilvl w:val="0"/>
          <w:numId w:val="12"/>
        </w:numPr>
        <w:spacing w:after="0" w:line="240" w:lineRule="auto"/>
        <w:ind w:right="-142"/>
        <w:jc w:val="both"/>
        <w:rPr>
          <w:rFonts w:ascii="Garamond" w:hAnsi="Garamond"/>
          <w:sz w:val="28"/>
          <w:szCs w:val="28"/>
        </w:rPr>
      </w:pPr>
      <w:r>
        <w:rPr>
          <w:rFonts w:ascii="Garamond" w:hAnsi="Garamond"/>
          <w:sz w:val="28"/>
          <w:szCs w:val="28"/>
        </w:rPr>
        <w:t>l’absence d’une liste fixe déterminant l</w:t>
      </w:r>
      <w:r w:rsidR="0070298A">
        <w:rPr>
          <w:rFonts w:ascii="Garamond" w:hAnsi="Garamond"/>
          <w:sz w:val="28"/>
          <w:szCs w:val="28"/>
        </w:rPr>
        <w:t>es entreprises bénéficiaires</w:t>
      </w:r>
      <w:r>
        <w:rPr>
          <w:rFonts w:ascii="Garamond" w:hAnsi="Garamond"/>
          <w:sz w:val="28"/>
          <w:szCs w:val="28"/>
        </w:rPr>
        <w:t xml:space="preserve"> du r</w:t>
      </w:r>
      <w:r w:rsidR="0070298A">
        <w:rPr>
          <w:rFonts w:ascii="Garamond" w:hAnsi="Garamond"/>
          <w:sz w:val="28"/>
          <w:szCs w:val="28"/>
        </w:rPr>
        <w:t>égime douanier du Code Minier.</w:t>
      </w:r>
    </w:p>
    <w:p w:rsidR="006F1B8E" w:rsidRPr="006F1B8E" w:rsidRDefault="006F1B8E" w:rsidP="006F1B8E">
      <w:pPr>
        <w:pStyle w:val="Paragraphedeliste"/>
        <w:spacing w:after="0" w:line="240" w:lineRule="auto"/>
        <w:ind w:right="-142"/>
        <w:jc w:val="both"/>
        <w:rPr>
          <w:rFonts w:ascii="Garamond" w:hAnsi="Garamond"/>
          <w:sz w:val="14"/>
          <w:szCs w:val="28"/>
        </w:rPr>
      </w:pPr>
    </w:p>
    <w:tbl>
      <w:tblPr>
        <w:tblpPr w:leftFromText="141" w:rightFromText="141" w:vertAnchor="text" w:horzAnchor="page" w:tblpXSpec="center" w:tblpY="396"/>
        <w:tblW w:w="4894" w:type="pct"/>
        <w:tblCellMar>
          <w:left w:w="70" w:type="dxa"/>
          <w:right w:w="70" w:type="dxa"/>
        </w:tblCellMar>
        <w:tblLook w:val="04A0" w:firstRow="1" w:lastRow="0" w:firstColumn="1" w:lastColumn="0" w:noHBand="0" w:noVBand="1"/>
      </w:tblPr>
      <w:tblGrid>
        <w:gridCol w:w="1473"/>
        <w:gridCol w:w="1192"/>
        <w:gridCol w:w="1469"/>
        <w:gridCol w:w="195"/>
        <w:gridCol w:w="1327"/>
        <w:gridCol w:w="1394"/>
        <w:gridCol w:w="216"/>
        <w:gridCol w:w="1604"/>
      </w:tblGrid>
      <w:tr w:rsidR="0070298A" w:rsidRPr="0070298A" w:rsidTr="00DC0CE9">
        <w:trPr>
          <w:trHeight w:val="299"/>
        </w:trPr>
        <w:tc>
          <w:tcPr>
            <w:tcW w:w="830" w:type="pct"/>
            <w:vMerge w:val="restar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rsidR="0070298A" w:rsidRPr="0070298A" w:rsidRDefault="0070298A" w:rsidP="00DC0CE9">
            <w:pPr>
              <w:spacing w:after="0"/>
              <w:jc w:val="center"/>
              <w:rPr>
                <w:rFonts w:ascii="Garamond" w:hAnsi="Garamond"/>
                <w:bCs/>
                <w:color w:val="000000"/>
                <w:sz w:val="20"/>
                <w:szCs w:val="20"/>
                <w:lang w:eastAsia="fr-FR"/>
              </w:rPr>
            </w:pPr>
            <w:r w:rsidRPr="0070298A">
              <w:rPr>
                <w:rFonts w:ascii="Garamond" w:hAnsi="Garamond"/>
                <w:color w:val="000000"/>
                <w:sz w:val="20"/>
                <w:szCs w:val="20"/>
                <w:lang w:eastAsia="fr-FR"/>
              </w:rPr>
              <w:t>LONG FEI</w:t>
            </w:r>
          </w:p>
        </w:tc>
        <w:tc>
          <w:tcPr>
            <w:tcW w:w="672" w:type="pct"/>
            <w:tcBorders>
              <w:top w:val="single" w:sz="4" w:space="0" w:color="5B9BD5"/>
              <w:left w:val="nil"/>
              <w:bottom w:val="single" w:sz="4" w:space="0" w:color="5B9BD5"/>
              <w:right w:val="single" w:sz="4" w:space="0" w:color="5B9BD5"/>
            </w:tcBorders>
            <w:shd w:val="clear" w:color="000000" w:fill="1F4E78"/>
            <w:vAlign w:val="center"/>
            <w:hideMark/>
          </w:tcPr>
          <w:p w:rsidR="0070298A" w:rsidRPr="0070298A" w:rsidRDefault="0070298A" w:rsidP="00DC0CE9">
            <w:pPr>
              <w:spacing w:after="0"/>
              <w:jc w:val="center"/>
              <w:rPr>
                <w:rFonts w:ascii="Garamond" w:hAnsi="Garamond"/>
                <w:b/>
                <w:color w:val="FFFFFF"/>
                <w:sz w:val="20"/>
                <w:szCs w:val="20"/>
                <w:lang w:eastAsia="fr-FR"/>
              </w:rPr>
            </w:pPr>
            <w:r w:rsidRPr="0070298A">
              <w:rPr>
                <w:rFonts w:ascii="Garamond" w:hAnsi="Garamond"/>
                <w:b/>
                <w:color w:val="FFFFFF"/>
                <w:sz w:val="20"/>
                <w:szCs w:val="20"/>
                <w:lang w:eastAsia="fr-FR"/>
              </w:rPr>
              <w:t>N° Quittance</w:t>
            </w:r>
          </w:p>
        </w:tc>
        <w:tc>
          <w:tcPr>
            <w:tcW w:w="828" w:type="pct"/>
            <w:tcBorders>
              <w:top w:val="single" w:sz="4" w:space="0" w:color="5B9BD5"/>
              <w:left w:val="nil"/>
              <w:bottom w:val="single" w:sz="4" w:space="0" w:color="5B9BD5"/>
              <w:right w:val="single" w:sz="4" w:space="0" w:color="5B9BD5"/>
            </w:tcBorders>
            <w:shd w:val="clear" w:color="000000" w:fill="1F4E78"/>
            <w:vAlign w:val="center"/>
            <w:hideMark/>
          </w:tcPr>
          <w:p w:rsidR="0070298A" w:rsidRPr="0070298A" w:rsidRDefault="0070298A" w:rsidP="00DC0CE9">
            <w:pPr>
              <w:spacing w:after="0"/>
              <w:jc w:val="center"/>
              <w:rPr>
                <w:rFonts w:ascii="Garamond" w:hAnsi="Garamond"/>
                <w:b/>
                <w:color w:val="FFFFFF"/>
                <w:sz w:val="20"/>
                <w:szCs w:val="20"/>
                <w:lang w:eastAsia="fr-FR"/>
              </w:rPr>
            </w:pPr>
            <w:r w:rsidRPr="0070298A">
              <w:rPr>
                <w:rFonts w:ascii="Garamond" w:hAnsi="Garamond"/>
                <w:b/>
                <w:color w:val="FFFFFF"/>
                <w:sz w:val="20"/>
                <w:szCs w:val="20"/>
                <w:lang w:eastAsia="fr-FR"/>
              </w:rPr>
              <w:t xml:space="preserve"> Société </w:t>
            </w:r>
          </w:p>
        </w:tc>
        <w:tc>
          <w:tcPr>
            <w:tcW w:w="110" w:type="pct"/>
            <w:tcBorders>
              <w:top w:val="single" w:sz="4" w:space="0" w:color="5B9BD5"/>
              <w:left w:val="nil"/>
              <w:bottom w:val="single" w:sz="4" w:space="0" w:color="5B9BD5"/>
              <w:right w:val="single" w:sz="4" w:space="0" w:color="5B9BD5"/>
            </w:tcBorders>
            <w:shd w:val="clear" w:color="000000" w:fill="FFFFFF"/>
            <w:noWrap/>
            <w:vAlign w:val="bottom"/>
            <w:hideMark/>
          </w:tcPr>
          <w:p w:rsidR="0070298A" w:rsidRPr="0070298A" w:rsidRDefault="0070298A" w:rsidP="00DC0CE9">
            <w:pPr>
              <w:spacing w:after="0"/>
              <w:rPr>
                <w:rFonts w:ascii="Garamond" w:hAnsi="Garamond"/>
                <w:bCs/>
                <w:color w:val="000000"/>
                <w:sz w:val="20"/>
                <w:szCs w:val="20"/>
                <w:lang w:eastAsia="fr-FR"/>
              </w:rPr>
            </w:pPr>
            <w:r w:rsidRPr="0070298A">
              <w:rPr>
                <w:rFonts w:ascii="Garamond" w:hAnsi="Garamond"/>
                <w:color w:val="000000"/>
                <w:sz w:val="20"/>
                <w:szCs w:val="20"/>
                <w:lang w:eastAsia="fr-FR"/>
              </w:rPr>
              <w:t> </w:t>
            </w:r>
          </w:p>
        </w:tc>
        <w:tc>
          <w:tcPr>
            <w:tcW w:w="748" w:type="pct"/>
            <w:tcBorders>
              <w:top w:val="single" w:sz="4" w:space="0" w:color="5B9BD5"/>
              <w:left w:val="nil"/>
              <w:bottom w:val="single" w:sz="4" w:space="0" w:color="5B9BD5"/>
              <w:right w:val="single" w:sz="4" w:space="0" w:color="5B9BD5"/>
            </w:tcBorders>
            <w:shd w:val="clear" w:color="000000" w:fill="1F4E78"/>
            <w:vAlign w:val="center"/>
            <w:hideMark/>
          </w:tcPr>
          <w:p w:rsidR="0070298A" w:rsidRPr="0070298A" w:rsidRDefault="0070298A" w:rsidP="00DC0CE9">
            <w:pPr>
              <w:spacing w:after="0"/>
              <w:jc w:val="center"/>
              <w:rPr>
                <w:rFonts w:ascii="Garamond" w:hAnsi="Garamond"/>
                <w:b/>
                <w:color w:val="FFFFFF"/>
                <w:sz w:val="20"/>
                <w:szCs w:val="20"/>
                <w:lang w:eastAsia="fr-FR"/>
              </w:rPr>
            </w:pPr>
            <w:r w:rsidRPr="0070298A">
              <w:rPr>
                <w:rFonts w:ascii="Garamond" w:hAnsi="Garamond"/>
                <w:b/>
                <w:color w:val="FFFFFF"/>
                <w:sz w:val="20"/>
                <w:szCs w:val="20"/>
                <w:lang w:eastAsia="fr-FR"/>
              </w:rPr>
              <w:t xml:space="preserve"> N° Quittance </w:t>
            </w:r>
          </w:p>
        </w:tc>
        <w:tc>
          <w:tcPr>
            <w:tcW w:w="786" w:type="pct"/>
            <w:tcBorders>
              <w:top w:val="single" w:sz="4" w:space="0" w:color="5B9BD5"/>
              <w:left w:val="nil"/>
              <w:bottom w:val="single" w:sz="4" w:space="0" w:color="5B9BD5"/>
              <w:right w:val="single" w:sz="4" w:space="0" w:color="5B9BD5"/>
            </w:tcBorders>
            <w:shd w:val="clear" w:color="000000" w:fill="1F4E78"/>
            <w:vAlign w:val="center"/>
            <w:hideMark/>
          </w:tcPr>
          <w:p w:rsidR="0070298A" w:rsidRPr="0070298A" w:rsidRDefault="0070298A" w:rsidP="00DC0CE9">
            <w:pPr>
              <w:spacing w:after="0"/>
              <w:jc w:val="center"/>
              <w:rPr>
                <w:rFonts w:ascii="Garamond" w:hAnsi="Garamond"/>
                <w:b/>
                <w:color w:val="FFFFFF"/>
                <w:sz w:val="20"/>
                <w:szCs w:val="20"/>
                <w:lang w:eastAsia="fr-FR"/>
              </w:rPr>
            </w:pPr>
            <w:r w:rsidRPr="0070298A">
              <w:rPr>
                <w:rFonts w:ascii="Garamond" w:hAnsi="Garamond"/>
                <w:b/>
                <w:color w:val="FFFFFF"/>
                <w:sz w:val="20"/>
                <w:szCs w:val="20"/>
                <w:lang w:eastAsia="fr-FR"/>
              </w:rPr>
              <w:t xml:space="preserve"> DGDA </w:t>
            </w:r>
          </w:p>
        </w:tc>
        <w:tc>
          <w:tcPr>
            <w:tcW w:w="122" w:type="pct"/>
            <w:tcBorders>
              <w:top w:val="single" w:sz="4" w:space="0" w:color="5B9BD5"/>
              <w:left w:val="nil"/>
              <w:bottom w:val="single" w:sz="4" w:space="0" w:color="5B9BD5"/>
              <w:right w:val="single" w:sz="4" w:space="0" w:color="5B9BD5"/>
            </w:tcBorders>
            <w:shd w:val="clear" w:color="000000" w:fill="FFFFFF"/>
            <w:noWrap/>
            <w:vAlign w:val="bottom"/>
            <w:hideMark/>
          </w:tcPr>
          <w:p w:rsidR="0070298A" w:rsidRPr="0070298A" w:rsidRDefault="0070298A" w:rsidP="00DC0CE9">
            <w:pPr>
              <w:spacing w:after="0"/>
              <w:rPr>
                <w:rFonts w:ascii="Garamond" w:hAnsi="Garamond"/>
                <w:bCs/>
                <w:color w:val="000000"/>
                <w:sz w:val="20"/>
                <w:szCs w:val="20"/>
                <w:lang w:eastAsia="fr-FR"/>
              </w:rPr>
            </w:pPr>
            <w:r w:rsidRPr="0070298A">
              <w:rPr>
                <w:rFonts w:ascii="Garamond" w:hAnsi="Garamond"/>
                <w:color w:val="000000"/>
                <w:sz w:val="20"/>
                <w:szCs w:val="20"/>
                <w:lang w:eastAsia="fr-FR"/>
              </w:rPr>
              <w:t> </w:t>
            </w:r>
          </w:p>
        </w:tc>
        <w:tc>
          <w:tcPr>
            <w:tcW w:w="904" w:type="pct"/>
            <w:tcBorders>
              <w:top w:val="single" w:sz="4" w:space="0" w:color="5B9BD5"/>
              <w:left w:val="nil"/>
              <w:bottom w:val="single" w:sz="4" w:space="0" w:color="5B9BD5"/>
              <w:right w:val="single" w:sz="4" w:space="0" w:color="5B9BD5"/>
            </w:tcBorders>
            <w:shd w:val="clear" w:color="000000" w:fill="1F4E78"/>
            <w:vAlign w:val="center"/>
            <w:hideMark/>
          </w:tcPr>
          <w:p w:rsidR="0070298A" w:rsidRPr="0070298A" w:rsidRDefault="0070298A" w:rsidP="00DC0CE9">
            <w:pPr>
              <w:spacing w:after="0"/>
              <w:jc w:val="center"/>
              <w:rPr>
                <w:rFonts w:ascii="Garamond" w:hAnsi="Garamond"/>
                <w:b/>
                <w:color w:val="FFFFFF"/>
                <w:sz w:val="20"/>
                <w:szCs w:val="20"/>
                <w:lang w:eastAsia="fr-FR"/>
              </w:rPr>
            </w:pPr>
            <w:r w:rsidRPr="0070298A">
              <w:rPr>
                <w:rFonts w:ascii="Garamond" w:hAnsi="Garamond"/>
                <w:b/>
                <w:color w:val="FFFFFF"/>
                <w:sz w:val="20"/>
                <w:szCs w:val="20"/>
                <w:lang w:eastAsia="fr-FR"/>
              </w:rPr>
              <w:t xml:space="preserve"> ECART en CDF </w:t>
            </w:r>
          </w:p>
        </w:tc>
      </w:tr>
      <w:tr w:rsidR="0070298A" w:rsidRPr="0070298A" w:rsidTr="00DC0CE9">
        <w:trPr>
          <w:trHeight w:val="299"/>
        </w:trPr>
        <w:tc>
          <w:tcPr>
            <w:tcW w:w="830" w:type="pct"/>
            <w:vMerge/>
            <w:tcBorders>
              <w:top w:val="single" w:sz="4" w:space="0" w:color="5B9BD5"/>
              <w:left w:val="single" w:sz="4" w:space="0" w:color="5B9BD5"/>
              <w:bottom w:val="single" w:sz="4" w:space="0" w:color="5B9BD5"/>
              <w:right w:val="single" w:sz="4" w:space="0" w:color="5B9BD5"/>
            </w:tcBorders>
            <w:vAlign w:val="center"/>
            <w:hideMark/>
          </w:tcPr>
          <w:p w:rsidR="0070298A" w:rsidRPr="0070298A" w:rsidRDefault="0070298A" w:rsidP="00DC0CE9">
            <w:pPr>
              <w:spacing w:after="0"/>
              <w:rPr>
                <w:rFonts w:ascii="Garamond" w:hAnsi="Garamond"/>
                <w:bCs/>
                <w:color w:val="000000"/>
                <w:sz w:val="20"/>
                <w:szCs w:val="20"/>
                <w:lang w:eastAsia="fr-FR"/>
              </w:rPr>
            </w:pPr>
          </w:p>
        </w:tc>
        <w:tc>
          <w:tcPr>
            <w:tcW w:w="672" w:type="pct"/>
            <w:tcBorders>
              <w:top w:val="nil"/>
              <w:left w:val="nil"/>
              <w:bottom w:val="single" w:sz="4" w:space="0" w:color="5B9BD5"/>
              <w:right w:val="single" w:sz="4" w:space="0" w:color="5B9BD5"/>
            </w:tcBorders>
            <w:shd w:val="clear" w:color="000000" w:fill="FFFFFF"/>
            <w:noWrap/>
            <w:vAlign w:val="bottom"/>
            <w:hideMark/>
          </w:tcPr>
          <w:p w:rsidR="0070298A" w:rsidRPr="0070298A" w:rsidRDefault="0070298A" w:rsidP="00DC0CE9">
            <w:pPr>
              <w:spacing w:after="0"/>
              <w:rPr>
                <w:rFonts w:ascii="Garamond" w:hAnsi="Garamond"/>
                <w:bCs/>
                <w:color w:val="000000"/>
                <w:sz w:val="20"/>
                <w:szCs w:val="20"/>
                <w:lang w:eastAsia="fr-FR"/>
              </w:rPr>
            </w:pPr>
            <w:r w:rsidRPr="0070298A">
              <w:rPr>
                <w:rFonts w:ascii="Garamond" w:hAnsi="Garamond"/>
                <w:color w:val="000000"/>
                <w:sz w:val="20"/>
                <w:szCs w:val="20"/>
                <w:lang w:eastAsia="fr-FR"/>
              </w:rPr>
              <w:t>Q2354</w:t>
            </w:r>
          </w:p>
        </w:tc>
        <w:tc>
          <w:tcPr>
            <w:tcW w:w="828" w:type="pct"/>
            <w:tcBorders>
              <w:top w:val="nil"/>
              <w:left w:val="nil"/>
              <w:bottom w:val="single" w:sz="4" w:space="0" w:color="5B9BD5"/>
              <w:right w:val="single" w:sz="4" w:space="0" w:color="5B9BD5"/>
            </w:tcBorders>
            <w:shd w:val="clear" w:color="000000" w:fill="FFFFFF"/>
            <w:noWrap/>
            <w:vAlign w:val="bottom"/>
            <w:hideMark/>
          </w:tcPr>
          <w:p w:rsidR="0070298A" w:rsidRPr="0070298A" w:rsidRDefault="0070298A" w:rsidP="00DC0CE9">
            <w:pPr>
              <w:spacing w:after="0"/>
              <w:jc w:val="right"/>
              <w:rPr>
                <w:rFonts w:ascii="Garamond" w:hAnsi="Garamond"/>
                <w:bCs/>
                <w:color w:val="000000"/>
                <w:sz w:val="20"/>
                <w:szCs w:val="20"/>
                <w:lang w:eastAsia="fr-FR"/>
              </w:rPr>
            </w:pPr>
            <w:r w:rsidRPr="0070298A">
              <w:rPr>
                <w:rFonts w:ascii="Garamond" w:hAnsi="Garamond"/>
                <w:color w:val="000000"/>
                <w:sz w:val="20"/>
                <w:szCs w:val="20"/>
                <w:lang w:eastAsia="fr-FR"/>
              </w:rPr>
              <w:t>10 420 267</w:t>
            </w:r>
          </w:p>
        </w:tc>
        <w:tc>
          <w:tcPr>
            <w:tcW w:w="110" w:type="pct"/>
            <w:tcBorders>
              <w:top w:val="nil"/>
              <w:left w:val="nil"/>
              <w:bottom w:val="single" w:sz="4" w:space="0" w:color="5B9BD5"/>
              <w:right w:val="single" w:sz="4" w:space="0" w:color="5B9BD5"/>
            </w:tcBorders>
            <w:shd w:val="clear" w:color="000000" w:fill="FFFFFF"/>
            <w:noWrap/>
            <w:vAlign w:val="bottom"/>
            <w:hideMark/>
          </w:tcPr>
          <w:p w:rsidR="0070298A" w:rsidRPr="0070298A" w:rsidRDefault="0070298A" w:rsidP="00DC0CE9">
            <w:pPr>
              <w:spacing w:after="0"/>
              <w:jc w:val="right"/>
              <w:rPr>
                <w:rFonts w:ascii="Garamond" w:hAnsi="Garamond"/>
                <w:bCs/>
                <w:color w:val="000000"/>
                <w:sz w:val="20"/>
                <w:szCs w:val="20"/>
                <w:lang w:eastAsia="fr-FR"/>
              </w:rPr>
            </w:pPr>
          </w:p>
        </w:tc>
        <w:tc>
          <w:tcPr>
            <w:tcW w:w="748" w:type="pct"/>
            <w:tcBorders>
              <w:top w:val="nil"/>
              <w:left w:val="nil"/>
              <w:bottom w:val="single" w:sz="4" w:space="0" w:color="5B9BD5"/>
              <w:right w:val="single" w:sz="4" w:space="0" w:color="5B9BD5"/>
            </w:tcBorders>
            <w:shd w:val="clear" w:color="000000" w:fill="FFFFFF"/>
            <w:noWrap/>
            <w:vAlign w:val="bottom"/>
            <w:hideMark/>
          </w:tcPr>
          <w:p w:rsidR="0070298A" w:rsidRPr="0070298A" w:rsidRDefault="0070298A" w:rsidP="00DC0CE9">
            <w:pPr>
              <w:spacing w:after="0"/>
              <w:jc w:val="right"/>
              <w:rPr>
                <w:rFonts w:ascii="Garamond" w:hAnsi="Garamond"/>
                <w:bCs/>
                <w:color w:val="000000"/>
                <w:sz w:val="20"/>
                <w:szCs w:val="20"/>
                <w:lang w:eastAsia="fr-FR"/>
              </w:rPr>
            </w:pPr>
            <w:r w:rsidRPr="0070298A">
              <w:rPr>
                <w:rFonts w:ascii="Garamond" w:hAnsi="Garamond"/>
                <w:color w:val="000000"/>
                <w:sz w:val="20"/>
                <w:szCs w:val="20"/>
                <w:lang w:eastAsia="fr-FR"/>
              </w:rPr>
              <w:t>Q2354</w:t>
            </w:r>
          </w:p>
        </w:tc>
        <w:tc>
          <w:tcPr>
            <w:tcW w:w="786" w:type="pct"/>
            <w:tcBorders>
              <w:top w:val="nil"/>
              <w:left w:val="nil"/>
              <w:bottom w:val="single" w:sz="4" w:space="0" w:color="5B9BD5"/>
              <w:right w:val="single" w:sz="4" w:space="0" w:color="5B9BD5"/>
            </w:tcBorders>
            <w:shd w:val="clear" w:color="000000" w:fill="FFFFFF"/>
            <w:noWrap/>
            <w:vAlign w:val="bottom"/>
            <w:hideMark/>
          </w:tcPr>
          <w:p w:rsidR="0070298A" w:rsidRPr="0070298A" w:rsidRDefault="0070298A" w:rsidP="00DC0CE9">
            <w:pPr>
              <w:spacing w:after="0"/>
              <w:jc w:val="right"/>
              <w:rPr>
                <w:rFonts w:ascii="Garamond" w:hAnsi="Garamond"/>
                <w:bCs/>
                <w:color w:val="000000"/>
                <w:sz w:val="20"/>
                <w:szCs w:val="20"/>
                <w:lang w:eastAsia="fr-FR"/>
              </w:rPr>
            </w:pPr>
            <w:r w:rsidRPr="0070298A">
              <w:rPr>
                <w:rFonts w:ascii="Garamond" w:hAnsi="Garamond"/>
                <w:color w:val="000000"/>
                <w:sz w:val="20"/>
                <w:szCs w:val="20"/>
                <w:lang w:eastAsia="fr-FR"/>
              </w:rPr>
              <w:t>5 201 813</w:t>
            </w:r>
          </w:p>
        </w:tc>
        <w:tc>
          <w:tcPr>
            <w:tcW w:w="122" w:type="pct"/>
            <w:tcBorders>
              <w:top w:val="nil"/>
              <w:left w:val="nil"/>
              <w:bottom w:val="single" w:sz="4" w:space="0" w:color="5B9BD5"/>
              <w:right w:val="single" w:sz="4" w:space="0" w:color="5B9BD5"/>
            </w:tcBorders>
            <w:shd w:val="clear" w:color="000000" w:fill="FFFFFF"/>
            <w:noWrap/>
            <w:vAlign w:val="bottom"/>
            <w:hideMark/>
          </w:tcPr>
          <w:p w:rsidR="0070298A" w:rsidRPr="0070298A" w:rsidRDefault="0070298A" w:rsidP="00DC0CE9">
            <w:pPr>
              <w:spacing w:after="0"/>
              <w:jc w:val="right"/>
              <w:rPr>
                <w:rFonts w:ascii="Garamond" w:hAnsi="Garamond"/>
                <w:bCs/>
                <w:color w:val="000000"/>
                <w:sz w:val="20"/>
                <w:szCs w:val="20"/>
                <w:lang w:eastAsia="fr-FR"/>
              </w:rPr>
            </w:pPr>
          </w:p>
        </w:tc>
        <w:tc>
          <w:tcPr>
            <w:tcW w:w="904" w:type="pct"/>
            <w:tcBorders>
              <w:top w:val="nil"/>
              <w:left w:val="nil"/>
              <w:bottom w:val="single" w:sz="4" w:space="0" w:color="5B9BD5"/>
              <w:right w:val="single" w:sz="4" w:space="0" w:color="5B9BD5"/>
            </w:tcBorders>
            <w:shd w:val="clear" w:color="000000" w:fill="FFFFFF"/>
            <w:noWrap/>
            <w:vAlign w:val="bottom"/>
            <w:hideMark/>
          </w:tcPr>
          <w:p w:rsidR="0070298A" w:rsidRPr="0070298A" w:rsidRDefault="0070298A" w:rsidP="00DC0CE9">
            <w:pPr>
              <w:spacing w:after="0"/>
              <w:jc w:val="right"/>
              <w:rPr>
                <w:rFonts w:ascii="Garamond" w:hAnsi="Garamond"/>
                <w:bCs/>
                <w:color w:val="000000"/>
                <w:sz w:val="20"/>
                <w:szCs w:val="20"/>
                <w:lang w:eastAsia="fr-FR"/>
              </w:rPr>
            </w:pPr>
            <w:r w:rsidRPr="0070298A">
              <w:rPr>
                <w:rFonts w:ascii="Garamond" w:hAnsi="Garamond"/>
                <w:color w:val="000000"/>
                <w:sz w:val="20"/>
                <w:szCs w:val="20"/>
                <w:lang w:eastAsia="fr-FR"/>
              </w:rPr>
              <w:t>5 218 454</w:t>
            </w:r>
          </w:p>
        </w:tc>
      </w:tr>
      <w:tr w:rsidR="0070298A" w:rsidRPr="0070298A" w:rsidTr="00DC0CE9">
        <w:trPr>
          <w:trHeight w:val="299"/>
        </w:trPr>
        <w:tc>
          <w:tcPr>
            <w:tcW w:w="830" w:type="pct"/>
            <w:vMerge/>
            <w:tcBorders>
              <w:top w:val="single" w:sz="4" w:space="0" w:color="5B9BD5"/>
              <w:left w:val="single" w:sz="4" w:space="0" w:color="5B9BD5"/>
              <w:bottom w:val="single" w:sz="4" w:space="0" w:color="5B9BD5"/>
              <w:right w:val="single" w:sz="4" w:space="0" w:color="5B9BD5"/>
            </w:tcBorders>
            <w:vAlign w:val="center"/>
            <w:hideMark/>
          </w:tcPr>
          <w:p w:rsidR="0070298A" w:rsidRPr="0070298A" w:rsidRDefault="0070298A" w:rsidP="00DC0CE9">
            <w:pPr>
              <w:spacing w:after="0"/>
              <w:rPr>
                <w:rFonts w:ascii="Garamond" w:hAnsi="Garamond"/>
                <w:bCs/>
                <w:color w:val="000000"/>
                <w:sz w:val="20"/>
                <w:szCs w:val="20"/>
                <w:lang w:eastAsia="fr-FR"/>
              </w:rPr>
            </w:pPr>
          </w:p>
        </w:tc>
        <w:tc>
          <w:tcPr>
            <w:tcW w:w="672" w:type="pct"/>
            <w:tcBorders>
              <w:top w:val="nil"/>
              <w:left w:val="nil"/>
              <w:bottom w:val="single" w:sz="4" w:space="0" w:color="5B9BD5"/>
              <w:right w:val="single" w:sz="4" w:space="0" w:color="5B9BD5"/>
            </w:tcBorders>
            <w:shd w:val="clear" w:color="000000" w:fill="FFFFFF"/>
            <w:noWrap/>
            <w:vAlign w:val="bottom"/>
            <w:hideMark/>
          </w:tcPr>
          <w:p w:rsidR="0070298A" w:rsidRPr="0070298A" w:rsidRDefault="0070298A" w:rsidP="00DC0CE9">
            <w:pPr>
              <w:spacing w:after="0"/>
              <w:rPr>
                <w:rFonts w:ascii="Garamond" w:hAnsi="Garamond"/>
                <w:bCs/>
                <w:color w:val="000000"/>
                <w:sz w:val="20"/>
                <w:szCs w:val="20"/>
                <w:lang w:eastAsia="fr-FR"/>
              </w:rPr>
            </w:pPr>
            <w:r w:rsidRPr="0070298A">
              <w:rPr>
                <w:rFonts w:ascii="Garamond" w:hAnsi="Garamond"/>
                <w:color w:val="000000"/>
                <w:sz w:val="20"/>
                <w:szCs w:val="20"/>
                <w:lang w:eastAsia="fr-FR"/>
              </w:rPr>
              <w:t>Q2352</w:t>
            </w:r>
          </w:p>
        </w:tc>
        <w:tc>
          <w:tcPr>
            <w:tcW w:w="828" w:type="pct"/>
            <w:tcBorders>
              <w:top w:val="nil"/>
              <w:left w:val="nil"/>
              <w:bottom w:val="single" w:sz="4" w:space="0" w:color="5B9BD5"/>
              <w:right w:val="single" w:sz="4" w:space="0" w:color="5B9BD5"/>
            </w:tcBorders>
            <w:shd w:val="clear" w:color="000000" w:fill="FFFFFF"/>
            <w:noWrap/>
            <w:vAlign w:val="bottom"/>
            <w:hideMark/>
          </w:tcPr>
          <w:p w:rsidR="0070298A" w:rsidRPr="0070298A" w:rsidRDefault="0070298A" w:rsidP="00DC0CE9">
            <w:pPr>
              <w:spacing w:after="0"/>
              <w:jc w:val="right"/>
              <w:rPr>
                <w:rFonts w:ascii="Garamond" w:hAnsi="Garamond"/>
                <w:bCs/>
                <w:color w:val="000000"/>
                <w:sz w:val="20"/>
                <w:szCs w:val="20"/>
                <w:lang w:eastAsia="fr-FR"/>
              </w:rPr>
            </w:pPr>
            <w:r w:rsidRPr="0070298A">
              <w:rPr>
                <w:rFonts w:ascii="Garamond" w:hAnsi="Garamond"/>
                <w:color w:val="000000"/>
                <w:sz w:val="20"/>
                <w:szCs w:val="20"/>
                <w:lang w:eastAsia="fr-FR"/>
              </w:rPr>
              <w:t>14 859 368</w:t>
            </w:r>
          </w:p>
        </w:tc>
        <w:tc>
          <w:tcPr>
            <w:tcW w:w="110" w:type="pct"/>
            <w:tcBorders>
              <w:top w:val="nil"/>
              <w:left w:val="nil"/>
              <w:bottom w:val="single" w:sz="4" w:space="0" w:color="5B9BD5"/>
              <w:right w:val="single" w:sz="4" w:space="0" w:color="5B9BD5"/>
            </w:tcBorders>
            <w:shd w:val="clear" w:color="000000" w:fill="FFFFFF"/>
            <w:noWrap/>
            <w:vAlign w:val="bottom"/>
            <w:hideMark/>
          </w:tcPr>
          <w:p w:rsidR="0070298A" w:rsidRPr="0070298A" w:rsidRDefault="0070298A" w:rsidP="00DC0CE9">
            <w:pPr>
              <w:spacing w:after="0"/>
              <w:jc w:val="right"/>
              <w:rPr>
                <w:rFonts w:ascii="Garamond" w:hAnsi="Garamond"/>
                <w:bCs/>
                <w:color w:val="000000"/>
                <w:sz w:val="20"/>
                <w:szCs w:val="20"/>
                <w:lang w:eastAsia="fr-FR"/>
              </w:rPr>
            </w:pPr>
          </w:p>
        </w:tc>
        <w:tc>
          <w:tcPr>
            <w:tcW w:w="748" w:type="pct"/>
            <w:tcBorders>
              <w:top w:val="nil"/>
              <w:left w:val="nil"/>
              <w:bottom w:val="single" w:sz="4" w:space="0" w:color="5B9BD5"/>
              <w:right w:val="single" w:sz="4" w:space="0" w:color="5B9BD5"/>
            </w:tcBorders>
            <w:shd w:val="clear" w:color="000000" w:fill="FFFFFF"/>
            <w:noWrap/>
            <w:vAlign w:val="bottom"/>
            <w:hideMark/>
          </w:tcPr>
          <w:p w:rsidR="0070298A" w:rsidRPr="0070298A" w:rsidRDefault="0070298A" w:rsidP="00DC0CE9">
            <w:pPr>
              <w:spacing w:after="0"/>
              <w:jc w:val="right"/>
              <w:rPr>
                <w:rFonts w:ascii="Garamond" w:hAnsi="Garamond"/>
                <w:bCs/>
                <w:color w:val="000000"/>
                <w:sz w:val="20"/>
                <w:szCs w:val="20"/>
                <w:lang w:eastAsia="fr-FR"/>
              </w:rPr>
            </w:pPr>
            <w:r w:rsidRPr="0070298A">
              <w:rPr>
                <w:rFonts w:ascii="Garamond" w:hAnsi="Garamond"/>
                <w:color w:val="000000"/>
                <w:sz w:val="20"/>
                <w:szCs w:val="20"/>
                <w:lang w:eastAsia="fr-FR"/>
              </w:rPr>
              <w:t>Q2352</w:t>
            </w:r>
          </w:p>
        </w:tc>
        <w:tc>
          <w:tcPr>
            <w:tcW w:w="786" w:type="pct"/>
            <w:tcBorders>
              <w:top w:val="nil"/>
              <w:left w:val="nil"/>
              <w:bottom w:val="single" w:sz="4" w:space="0" w:color="5B9BD5"/>
              <w:right w:val="single" w:sz="4" w:space="0" w:color="5B9BD5"/>
            </w:tcBorders>
            <w:shd w:val="clear" w:color="000000" w:fill="FFFFFF"/>
            <w:noWrap/>
            <w:vAlign w:val="bottom"/>
            <w:hideMark/>
          </w:tcPr>
          <w:p w:rsidR="0070298A" w:rsidRPr="0070298A" w:rsidRDefault="0070298A" w:rsidP="00DC0CE9">
            <w:pPr>
              <w:spacing w:after="0"/>
              <w:jc w:val="right"/>
              <w:rPr>
                <w:rFonts w:ascii="Garamond" w:hAnsi="Garamond"/>
                <w:bCs/>
                <w:color w:val="000000"/>
                <w:sz w:val="20"/>
                <w:szCs w:val="20"/>
                <w:lang w:eastAsia="fr-FR"/>
              </w:rPr>
            </w:pPr>
            <w:r w:rsidRPr="0070298A">
              <w:rPr>
                <w:rFonts w:ascii="Garamond" w:hAnsi="Garamond"/>
                <w:color w:val="000000"/>
                <w:sz w:val="20"/>
                <w:szCs w:val="20"/>
                <w:lang w:eastAsia="fr-FR"/>
              </w:rPr>
              <w:t>5 375 753</w:t>
            </w:r>
          </w:p>
        </w:tc>
        <w:tc>
          <w:tcPr>
            <w:tcW w:w="122" w:type="pct"/>
            <w:tcBorders>
              <w:top w:val="nil"/>
              <w:left w:val="nil"/>
              <w:bottom w:val="single" w:sz="4" w:space="0" w:color="5B9BD5"/>
              <w:right w:val="single" w:sz="4" w:space="0" w:color="5B9BD5"/>
            </w:tcBorders>
            <w:shd w:val="clear" w:color="000000" w:fill="FFFFFF"/>
            <w:noWrap/>
            <w:vAlign w:val="bottom"/>
            <w:hideMark/>
          </w:tcPr>
          <w:p w:rsidR="0070298A" w:rsidRPr="0070298A" w:rsidRDefault="0070298A" w:rsidP="00DC0CE9">
            <w:pPr>
              <w:spacing w:after="0"/>
              <w:jc w:val="right"/>
              <w:rPr>
                <w:rFonts w:ascii="Garamond" w:hAnsi="Garamond"/>
                <w:bCs/>
                <w:color w:val="000000"/>
                <w:sz w:val="20"/>
                <w:szCs w:val="20"/>
                <w:lang w:eastAsia="fr-FR"/>
              </w:rPr>
            </w:pPr>
          </w:p>
        </w:tc>
        <w:tc>
          <w:tcPr>
            <w:tcW w:w="904" w:type="pct"/>
            <w:tcBorders>
              <w:top w:val="nil"/>
              <w:left w:val="nil"/>
              <w:bottom w:val="single" w:sz="4" w:space="0" w:color="5B9BD5"/>
              <w:right w:val="single" w:sz="4" w:space="0" w:color="5B9BD5"/>
            </w:tcBorders>
            <w:shd w:val="clear" w:color="000000" w:fill="FFFFFF"/>
            <w:noWrap/>
            <w:vAlign w:val="bottom"/>
            <w:hideMark/>
          </w:tcPr>
          <w:p w:rsidR="0070298A" w:rsidRPr="0070298A" w:rsidRDefault="0070298A" w:rsidP="00DC0CE9">
            <w:pPr>
              <w:spacing w:after="0"/>
              <w:jc w:val="right"/>
              <w:rPr>
                <w:rFonts w:ascii="Garamond" w:hAnsi="Garamond"/>
                <w:bCs/>
                <w:color w:val="000000"/>
                <w:sz w:val="20"/>
                <w:szCs w:val="20"/>
                <w:lang w:eastAsia="fr-FR"/>
              </w:rPr>
            </w:pPr>
            <w:r w:rsidRPr="0070298A">
              <w:rPr>
                <w:rFonts w:ascii="Garamond" w:hAnsi="Garamond"/>
                <w:color w:val="000000"/>
                <w:sz w:val="20"/>
                <w:szCs w:val="20"/>
                <w:lang w:eastAsia="fr-FR"/>
              </w:rPr>
              <w:t>9 483 615</w:t>
            </w:r>
          </w:p>
        </w:tc>
      </w:tr>
      <w:tr w:rsidR="0070298A" w:rsidRPr="0070298A" w:rsidTr="00DC0CE9">
        <w:trPr>
          <w:trHeight w:val="299"/>
        </w:trPr>
        <w:tc>
          <w:tcPr>
            <w:tcW w:w="830" w:type="pct"/>
            <w:vMerge/>
            <w:tcBorders>
              <w:top w:val="single" w:sz="4" w:space="0" w:color="5B9BD5"/>
              <w:left w:val="single" w:sz="4" w:space="0" w:color="5B9BD5"/>
              <w:bottom w:val="single" w:sz="4" w:space="0" w:color="5B9BD5"/>
              <w:right w:val="single" w:sz="4" w:space="0" w:color="5B9BD5"/>
            </w:tcBorders>
            <w:vAlign w:val="center"/>
            <w:hideMark/>
          </w:tcPr>
          <w:p w:rsidR="0070298A" w:rsidRPr="0070298A" w:rsidRDefault="0070298A" w:rsidP="00DC0CE9">
            <w:pPr>
              <w:spacing w:after="0"/>
              <w:rPr>
                <w:rFonts w:ascii="Garamond" w:hAnsi="Garamond"/>
                <w:bCs/>
                <w:color w:val="000000"/>
                <w:sz w:val="20"/>
                <w:szCs w:val="20"/>
                <w:lang w:eastAsia="fr-FR"/>
              </w:rPr>
            </w:pPr>
          </w:p>
        </w:tc>
        <w:tc>
          <w:tcPr>
            <w:tcW w:w="672" w:type="pct"/>
            <w:tcBorders>
              <w:top w:val="nil"/>
              <w:left w:val="nil"/>
              <w:bottom w:val="single" w:sz="4" w:space="0" w:color="5B9BD5"/>
              <w:right w:val="single" w:sz="4" w:space="0" w:color="5B9BD5"/>
            </w:tcBorders>
            <w:shd w:val="clear" w:color="000000" w:fill="FFFFFF"/>
            <w:noWrap/>
            <w:vAlign w:val="bottom"/>
            <w:hideMark/>
          </w:tcPr>
          <w:p w:rsidR="0070298A" w:rsidRPr="0070298A" w:rsidRDefault="0070298A" w:rsidP="00DC0CE9">
            <w:pPr>
              <w:spacing w:after="0"/>
              <w:rPr>
                <w:rFonts w:ascii="Garamond" w:hAnsi="Garamond"/>
                <w:bCs/>
                <w:color w:val="000000"/>
                <w:sz w:val="20"/>
                <w:szCs w:val="20"/>
                <w:lang w:eastAsia="fr-FR"/>
              </w:rPr>
            </w:pPr>
            <w:r w:rsidRPr="0070298A">
              <w:rPr>
                <w:rFonts w:ascii="Garamond" w:hAnsi="Garamond"/>
                <w:color w:val="000000"/>
                <w:sz w:val="20"/>
                <w:szCs w:val="20"/>
                <w:lang w:eastAsia="fr-FR"/>
              </w:rPr>
              <w:t>Q1963</w:t>
            </w:r>
          </w:p>
        </w:tc>
        <w:tc>
          <w:tcPr>
            <w:tcW w:w="828" w:type="pct"/>
            <w:tcBorders>
              <w:top w:val="nil"/>
              <w:left w:val="nil"/>
              <w:bottom w:val="single" w:sz="4" w:space="0" w:color="5B9BD5"/>
              <w:right w:val="single" w:sz="4" w:space="0" w:color="5B9BD5"/>
            </w:tcBorders>
            <w:shd w:val="clear" w:color="000000" w:fill="FFFFFF"/>
            <w:noWrap/>
            <w:vAlign w:val="bottom"/>
            <w:hideMark/>
          </w:tcPr>
          <w:p w:rsidR="0070298A" w:rsidRPr="0070298A" w:rsidRDefault="0070298A" w:rsidP="00DC0CE9">
            <w:pPr>
              <w:spacing w:after="0"/>
              <w:jc w:val="right"/>
              <w:rPr>
                <w:rFonts w:ascii="Garamond" w:hAnsi="Garamond"/>
                <w:bCs/>
                <w:color w:val="000000"/>
                <w:sz w:val="20"/>
                <w:szCs w:val="20"/>
                <w:lang w:eastAsia="fr-FR"/>
              </w:rPr>
            </w:pPr>
            <w:r w:rsidRPr="0070298A">
              <w:rPr>
                <w:rFonts w:ascii="Garamond" w:hAnsi="Garamond"/>
                <w:color w:val="000000"/>
                <w:sz w:val="20"/>
                <w:szCs w:val="20"/>
                <w:lang w:eastAsia="fr-FR"/>
              </w:rPr>
              <w:t>25 098 741</w:t>
            </w:r>
          </w:p>
        </w:tc>
        <w:tc>
          <w:tcPr>
            <w:tcW w:w="110" w:type="pct"/>
            <w:tcBorders>
              <w:top w:val="nil"/>
              <w:left w:val="nil"/>
              <w:bottom w:val="single" w:sz="4" w:space="0" w:color="5B9BD5"/>
              <w:right w:val="single" w:sz="4" w:space="0" w:color="5B9BD5"/>
            </w:tcBorders>
            <w:shd w:val="clear" w:color="000000" w:fill="FFFFFF"/>
            <w:noWrap/>
            <w:vAlign w:val="bottom"/>
            <w:hideMark/>
          </w:tcPr>
          <w:p w:rsidR="0070298A" w:rsidRPr="0070298A" w:rsidRDefault="0070298A" w:rsidP="00DC0CE9">
            <w:pPr>
              <w:spacing w:after="0"/>
              <w:jc w:val="right"/>
              <w:rPr>
                <w:rFonts w:ascii="Garamond" w:hAnsi="Garamond"/>
                <w:bCs/>
                <w:color w:val="000000"/>
                <w:sz w:val="20"/>
                <w:szCs w:val="20"/>
                <w:lang w:eastAsia="fr-FR"/>
              </w:rPr>
            </w:pPr>
          </w:p>
        </w:tc>
        <w:tc>
          <w:tcPr>
            <w:tcW w:w="748" w:type="pct"/>
            <w:tcBorders>
              <w:top w:val="nil"/>
              <w:left w:val="nil"/>
              <w:bottom w:val="single" w:sz="4" w:space="0" w:color="5B9BD5"/>
              <w:right w:val="single" w:sz="4" w:space="0" w:color="5B9BD5"/>
            </w:tcBorders>
            <w:shd w:val="clear" w:color="000000" w:fill="FFFFFF"/>
            <w:noWrap/>
            <w:vAlign w:val="bottom"/>
            <w:hideMark/>
          </w:tcPr>
          <w:p w:rsidR="0070298A" w:rsidRPr="0070298A" w:rsidRDefault="0070298A" w:rsidP="00DC0CE9">
            <w:pPr>
              <w:spacing w:after="0"/>
              <w:jc w:val="right"/>
              <w:rPr>
                <w:rFonts w:ascii="Garamond" w:hAnsi="Garamond"/>
                <w:bCs/>
                <w:color w:val="000000"/>
                <w:sz w:val="20"/>
                <w:szCs w:val="20"/>
                <w:lang w:eastAsia="fr-FR"/>
              </w:rPr>
            </w:pPr>
            <w:r w:rsidRPr="0070298A">
              <w:rPr>
                <w:rFonts w:ascii="Garamond" w:hAnsi="Garamond"/>
                <w:color w:val="000000"/>
                <w:sz w:val="20"/>
                <w:szCs w:val="20"/>
                <w:lang w:eastAsia="fr-FR"/>
              </w:rPr>
              <w:t>Q1963</w:t>
            </w:r>
          </w:p>
        </w:tc>
        <w:tc>
          <w:tcPr>
            <w:tcW w:w="786" w:type="pct"/>
            <w:tcBorders>
              <w:top w:val="nil"/>
              <w:left w:val="nil"/>
              <w:bottom w:val="single" w:sz="4" w:space="0" w:color="5B9BD5"/>
              <w:right w:val="single" w:sz="4" w:space="0" w:color="5B9BD5"/>
            </w:tcBorders>
            <w:shd w:val="clear" w:color="000000" w:fill="FFFFFF"/>
            <w:noWrap/>
            <w:vAlign w:val="bottom"/>
            <w:hideMark/>
          </w:tcPr>
          <w:p w:rsidR="0070298A" w:rsidRPr="0070298A" w:rsidRDefault="0070298A" w:rsidP="00DC0CE9">
            <w:pPr>
              <w:spacing w:after="0"/>
              <w:jc w:val="right"/>
              <w:rPr>
                <w:rFonts w:ascii="Garamond" w:hAnsi="Garamond"/>
                <w:bCs/>
                <w:color w:val="000000"/>
                <w:sz w:val="20"/>
                <w:szCs w:val="20"/>
                <w:lang w:eastAsia="fr-FR"/>
              </w:rPr>
            </w:pPr>
            <w:r w:rsidRPr="0070298A">
              <w:rPr>
                <w:rFonts w:ascii="Garamond" w:hAnsi="Garamond"/>
                <w:color w:val="000000"/>
                <w:sz w:val="20"/>
                <w:szCs w:val="20"/>
                <w:lang w:eastAsia="fr-FR"/>
              </w:rPr>
              <w:t>5 387 595</w:t>
            </w:r>
          </w:p>
        </w:tc>
        <w:tc>
          <w:tcPr>
            <w:tcW w:w="122" w:type="pct"/>
            <w:tcBorders>
              <w:top w:val="nil"/>
              <w:left w:val="nil"/>
              <w:bottom w:val="single" w:sz="4" w:space="0" w:color="5B9BD5"/>
              <w:right w:val="single" w:sz="4" w:space="0" w:color="5B9BD5"/>
            </w:tcBorders>
            <w:shd w:val="clear" w:color="000000" w:fill="FFFFFF"/>
            <w:noWrap/>
            <w:vAlign w:val="bottom"/>
            <w:hideMark/>
          </w:tcPr>
          <w:p w:rsidR="0070298A" w:rsidRPr="0070298A" w:rsidRDefault="0070298A" w:rsidP="00DC0CE9">
            <w:pPr>
              <w:spacing w:after="0"/>
              <w:jc w:val="right"/>
              <w:rPr>
                <w:rFonts w:ascii="Garamond" w:hAnsi="Garamond"/>
                <w:bCs/>
                <w:color w:val="000000"/>
                <w:sz w:val="20"/>
                <w:szCs w:val="20"/>
                <w:lang w:eastAsia="fr-FR"/>
              </w:rPr>
            </w:pPr>
          </w:p>
        </w:tc>
        <w:tc>
          <w:tcPr>
            <w:tcW w:w="904" w:type="pct"/>
            <w:tcBorders>
              <w:top w:val="nil"/>
              <w:left w:val="nil"/>
              <w:bottom w:val="single" w:sz="4" w:space="0" w:color="5B9BD5"/>
              <w:right w:val="single" w:sz="4" w:space="0" w:color="5B9BD5"/>
            </w:tcBorders>
            <w:shd w:val="clear" w:color="000000" w:fill="FFFFFF"/>
            <w:noWrap/>
            <w:vAlign w:val="bottom"/>
            <w:hideMark/>
          </w:tcPr>
          <w:p w:rsidR="0070298A" w:rsidRPr="0070298A" w:rsidRDefault="0070298A" w:rsidP="00DC0CE9">
            <w:pPr>
              <w:spacing w:after="0"/>
              <w:jc w:val="right"/>
              <w:rPr>
                <w:rFonts w:ascii="Garamond" w:hAnsi="Garamond"/>
                <w:bCs/>
                <w:color w:val="000000"/>
                <w:sz w:val="20"/>
                <w:szCs w:val="20"/>
                <w:lang w:eastAsia="fr-FR"/>
              </w:rPr>
            </w:pPr>
            <w:r w:rsidRPr="0070298A">
              <w:rPr>
                <w:rFonts w:ascii="Garamond" w:hAnsi="Garamond"/>
                <w:color w:val="000000"/>
                <w:sz w:val="20"/>
                <w:szCs w:val="20"/>
                <w:lang w:eastAsia="fr-FR"/>
              </w:rPr>
              <w:t>19 711 146</w:t>
            </w:r>
          </w:p>
        </w:tc>
      </w:tr>
    </w:tbl>
    <w:p w:rsidR="00786C89" w:rsidRPr="006F1B8E" w:rsidRDefault="0070298A" w:rsidP="006F1B8E">
      <w:pPr>
        <w:ind w:right="-142"/>
        <w:jc w:val="both"/>
        <w:rPr>
          <w:rFonts w:ascii="Garamond" w:hAnsi="Garamond"/>
          <w:b/>
          <w:sz w:val="28"/>
          <w:szCs w:val="28"/>
          <w:u w:val="single"/>
        </w:rPr>
      </w:pPr>
      <w:r w:rsidRPr="0070298A">
        <w:rPr>
          <w:rFonts w:ascii="Garamond" w:hAnsi="Garamond"/>
          <w:b/>
          <w:sz w:val="28"/>
          <w:szCs w:val="28"/>
          <w:u w:val="single"/>
        </w:rPr>
        <w:t>Cas de LONG FEI</w:t>
      </w:r>
      <w:r w:rsidR="00040563">
        <w:rPr>
          <w:rFonts w:ascii="Garamond" w:hAnsi="Garamond"/>
          <w:sz w:val="28"/>
          <w:szCs w:val="28"/>
        </w:rPr>
        <w:t xml:space="preserve"> </w:t>
      </w:r>
    </w:p>
    <w:p w:rsidR="0070298A" w:rsidRDefault="0070298A" w:rsidP="0070298A">
      <w:pPr>
        <w:tabs>
          <w:tab w:val="left" w:pos="142"/>
        </w:tabs>
        <w:spacing w:after="200" w:line="240" w:lineRule="auto"/>
        <w:ind w:left="-142" w:right="-284"/>
        <w:contextualSpacing/>
        <w:jc w:val="both"/>
        <w:rPr>
          <w:rFonts w:ascii="Garamond" w:hAnsi="Garamond"/>
          <w:sz w:val="28"/>
          <w:szCs w:val="28"/>
        </w:rPr>
      </w:pPr>
      <w:r>
        <w:rPr>
          <w:rFonts w:ascii="Garamond" w:hAnsi="Garamond"/>
          <w:sz w:val="28"/>
          <w:szCs w:val="28"/>
        </w:rPr>
        <w:lastRenderedPageBreak/>
        <w:t>Pour rappel, lors de l’analyse des écarts de la société Long Fei, il a été constaté que la date de l’impression de la quittance produite par Long Fei était antérieure de deux ans</w:t>
      </w:r>
      <w:r w:rsidR="00994C30">
        <w:rPr>
          <w:rFonts w:ascii="Garamond" w:hAnsi="Garamond"/>
          <w:sz w:val="28"/>
          <w:szCs w:val="28"/>
        </w:rPr>
        <w:t xml:space="preserve"> par rapport</w:t>
      </w:r>
      <w:r>
        <w:rPr>
          <w:rFonts w:ascii="Garamond" w:hAnsi="Garamond"/>
          <w:sz w:val="28"/>
          <w:szCs w:val="28"/>
        </w:rPr>
        <w:t xml:space="preserve"> à la date de la quittance. Ce qui d’évidence à fait penser à un cas de fraude. </w:t>
      </w:r>
    </w:p>
    <w:p w:rsidR="0070298A" w:rsidRPr="00D14031" w:rsidRDefault="0070298A" w:rsidP="0070298A">
      <w:pPr>
        <w:tabs>
          <w:tab w:val="left" w:pos="142"/>
        </w:tabs>
        <w:spacing w:after="200" w:line="240" w:lineRule="auto"/>
        <w:ind w:left="-142" w:right="-284"/>
        <w:contextualSpacing/>
        <w:jc w:val="both"/>
        <w:rPr>
          <w:rFonts w:ascii="Garamond" w:hAnsi="Garamond"/>
          <w:sz w:val="12"/>
          <w:szCs w:val="28"/>
        </w:rPr>
      </w:pPr>
    </w:p>
    <w:p w:rsidR="0070298A" w:rsidRDefault="0070298A" w:rsidP="0070298A">
      <w:pPr>
        <w:tabs>
          <w:tab w:val="left" w:pos="142"/>
        </w:tabs>
        <w:spacing w:after="200" w:line="240" w:lineRule="auto"/>
        <w:ind w:left="-142" w:right="-284"/>
        <w:contextualSpacing/>
        <w:jc w:val="both"/>
        <w:rPr>
          <w:rFonts w:ascii="Garamond" w:hAnsi="Garamond"/>
          <w:sz w:val="28"/>
          <w:szCs w:val="28"/>
        </w:rPr>
      </w:pPr>
      <w:r>
        <w:rPr>
          <w:rFonts w:ascii="Garamond" w:hAnsi="Garamond"/>
          <w:sz w:val="28"/>
          <w:szCs w:val="28"/>
        </w:rPr>
        <w:t xml:space="preserve">Cette question a suscité un débat nourri tendant à comprendre, si fraude il y a eu, à quel niveau avait-elle </w:t>
      </w:r>
      <w:r w:rsidR="00994C30">
        <w:rPr>
          <w:rFonts w:ascii="Garamond" w:hAnsi="Garamond"/>
          <w:sz w:val="28"/>
          <w:szCs w:val="28"/>
        </w:rPr>
        <w:t xml:space="preserve">été </w:t>
      </w:r>
      <w:r>
        <w:rPr>
          <w:rFonts w:ascii="Garamond" w:hAnsi="Garamond"/>
          <w:sz w:val="28"/>
          <w:szCs w:val="28"/>
        </w:rPr>
        <w:t xml:space="preserve">occasionnée. </w:t>
      </w:r>
    </w:p>
    <w:p w:rsidR="0070298A" w:rsidRPr="00D14031" w:rsidRDefault="0070298A" w:rsidP="0070298A">
      <w:pPr>
        <w:tabs>
          <w:tab w:val="left" w:pos="142"/>
        </w:tabs>
        <w:spacing w:after="200" w:line="240" w:lineRule="auto"/>
        <w:ind w:left="-142" w:right="-284"/>
        <w:contextualSpacing/>
        <w:jc w:val="both"/>
        <w:rPr>
          <w:rFonts w:ascii="Garamond" w:hAnsi="Garamond"/>
          <w:sz w:val="14"/>
          <w:szCs w:val="28"/>
        </w:rPr>
      </w:pPr>
    </w:p>
    <w:p w:rsidR="0070298A" w:rsidRDefault="0070298A" w:rsidP="00B07A5D">
      <w:pPr>
        <w:tabs>
          <w:tab w:val="left" w:pos="142"/>
        </w:tabs>
        <w:spacing w:after="0" w:line="240" w:lineRule="auto"/>
        <w:ind w:left="-142" w:right="-284"/>
        <w:contextualSpacing/>
        <w:jc w:val="both"/>
        <w:rPr>
          <w:rFonts w:ascii="Garamond" w:hAnsi="Garamond"/>
          <w:sz w:val="28"/>
          <w:szCs w:val="28"/>
        </w:rPr>
      </w:pPr>
      <w:r>
        <w:rPr>
          <w:rFonts w:ascii="Garamond" w:hAnsi="Garamond"/>
          <w:sz w:val="28"/>
          <w:szCs w:val="28"/>
        </w:rPr>
        <w:t>Ainsi, plusieurs supputations ont été avancées :</w:t>
      </w:r>
    </w:p>
    <w:p w:rsidR="00994C30" w:rsidRPr="00994C30" w:rsidRDefault="00994C30" w:rsidP="00B07A5D">
      <w:pPr>
        <w:tabs>
          <w:tab w:val="left" w:pos="142"/>
        </w:tabs>
        <w:spacing w:after="0" w:line="240" w:lineRule="auto"/>
        <w:ind w:left="-142" w:right="-284"/>
        <w:contextualSpacing/>
        <w:jc w:val="both"/>
        <w:rPr>
          <w:rFonts w:ascii="Garamond" w:hAnsi="Garamond"/>
          <w:sz w:val="14"/>
          <w:szCs w:val="28"/>
        </w:rPr>
      </w:pPr>
    </w:p>
    <w:p w:rsidR="0070298A" w:rsidRDefault="0070298A" w:rsidP="006F1B8E">
      <w:pPr>
        <w:pStyle w:val="Paragraphedeliste"/>
        <w:numPr>
          <w:ilvl w:val="0"/>
          <w:numId w:val="20"/>
        </w:numPr>
        <w:tabs>
          <w:tab w:val="left" w:pos="142"/>
        </w:tabs>
        <w:spacing w:after="0" w:line="240" w:lineRule="auto"/>
        <w:ind w:right="-284"/>
        <w:jc w:val="both"/>
        <w:rPr>
          <w:rFonts w:ascii="Garamond" w:hAnsi="Garamond"/>
          <w:sz w:val="28"/>
          <w:szCs w:val="28"/>
        </w:rPr>
      </w:pPr>
      <w:r>
        <w:rPr>
          <w:rFonts w:ascii="Garamond" w:hAnsi="Garamond"/>
          <w:sz w:val="28"/>
          <w:szCs w:val="28"/>
        </w:rPr>
        <w:t>Pour certains, la fraude serait l’</w:t>
      </w:r>
      <w:r w:rsidR="006F1B8E">
        <w:rPr>
          <w:rFonts w:ascii="Garamond" w:hAnsi="Garamond"/>
          <w:sz w:val="28"/>
          <w:szCs w:val="28"/>
        </w:rPr>
        <w:t>objet d’une complicité entre</w:t>
      </w:r>
      <w:r>
        <w:rPr>
          <w:rFonts w:ascii="Garamond" w:hAnsi="Garamond"/>
          <w:sz w:val="28"/>
          <w:szCs w:val="28"/>
        </w:rPr>
        <w:t xml:space="preserve"> l’entreprise </w:t>
      </w:r>
      <w:r w:rsidR="006F1B8E">
        <w:rPr>
          <w:rFonts w:ascii="Garamond" w:hAnsi="Garamond"/>
          <w:sz w:val="28"/>
          <w:szCs w:val="28"/>
        </w:rPr>
        <w:t>et</w:t>
      </w:r>
      <w:r>
        <w:rPr>
          <w:rFonts w:ascii="Garamond" w:hAnsi="Garamond"/>
          <w:sz w:val="28"/>
          <w:szCs w:val="28"/>
        </w:rPr>
        <w:t xml:space="preserve"> son transitaire en douane ;</w:t>
      </w:r>
    </w:p>
    <w:p w:rsidR="0070298A" w:rsidRDefault="0070298A" w:rsidP="006F1B8E">
      <w:pPr>
        <w:pStyle w:val="Paragraphedeliste"/>
        <w:numPr>
          <w:ilvl w:val="0"/>
          <w:numId w:val="20"/>
        </w:numPr>
        <w:tabs>
          <w:tab w:val="left" w:pos="142"/>
        </w:tabs>
        <w:spacing w:after="0" w:line="240" w:lineRule="auto"/>
        <w:ind w:right="-284"/>
        <w:jc w:val="both"/>
        <w:rPr>
          <w:rFonts w:ascii="Garamond" w:hAnsi="Garamond"/>
          <w:sz w:val="28"/>
          <w:szCs w:val="28"/>
        </w:rPr>
      </w:pPr>
      <w:r>
        <w:rPr>
          <w:rFonts w:ascii="Garamond" w:hAnsi="Garamond"/>
          <w:sz w:val="28"/>
          <w:szCs w:val="28"/>
        </w:rPr>
        <w:t>Pour d’autres, elle se serait plutôt passée entre le transitaire</w:t>
      </w:r>
      <w:r w:rsidR="006F1B8E">
        <w:rPr>
          <w:rFonts w:ascii="Garamond" w:hAnsi="Garamond"/>
          <w:sz w:val="28"/>
          <w:szCs w:val="28"/>
        </w:rPr>
        <w:t xml:space="preserve"> </w:t>
      </w:r>
      <w:r>
        <w:rPr>
          <w:rFonts w:ascii="Garamond" w:hAnsi="Garamond"/>
          <w:sz w:val="28"/>
          <w:szCs w:val="28"/>
        </w:rPr>
        <w:t xml:space="preserve">et un </w:t>
      </w:r>
      <w:r w:rsidR="006F1B8E">
        <w:rPr>
          <w:rFonts w:ascii="Garamond" w:hAnsi="Garamond"/>
          <w:sz w:val="28"/>
          <w:szCs w:val="28"/>
        </w:rPr>
        <w:t>préposé</w:t>
      </w:r>
      <w:r>
        <w:rPr>
          <w:rFonts w:ascii="Garamond" w:hAnsi="Garamond"/>
          <w:sz w:val="28"/>
          <w:szCs w:val="28"/>
        </w:rPr>
        <w:t xml:space="preserve"> </w:t>
      </w:r>
      <w:r w:rsidR="006F1B8E">
        <w:rPr>
          <w:rFonts w:ascii="Garamond" w:hAnsi="Garamond"/>
          <w:sz w:val="28"/>
          <w:szCs w:val="28"/>
        </w:rPr>
        <w:t>de la DGDA</w:t>
      </w:r>
      <w:r>
        <w:rPr>
          <w:rFonts w:ascii="Garamond" w:hAnsi="Garamond"/>
          <w:sz w:val="28"/>
          <w:szCs w:val="28"/>
        </w:rPr>
        <w:t> ;</w:t>
      </w:r>
    </w:p>
    <w:p w:rsidR="00B07A5D" w:rsidRPr="00994C30" w:rsidRDefault="00B07A5D" w:rsidP="00B07A5D">
      <w:pPr>
        <w:pStyle w:val="Paragraphedeliste"/>
        <w:tabs>
          <w:tab w:val="left" w:pos="142"/>
        </w:tabs>
        <w:spacing w:after="0" w:line="240" w:lineRule="auto"/>
        <w:ind w:left="1368" w:right="-284"/>
        <w:jc w:val="both"/>
        <w:rPr>
          <w:rFonts w:ascii="Garamond" w:hAnsi="Garamond"/>
          <w:sz w:val="14"/>
          <w:szCs w:val="28"/>
        </w:rPr>
      </w:pPr>
    </w:p>
    <w:p w:rsidR="0070298A" w:rsidRPr="0070298A" w:rsidRDefault="00D14031" w:rsidP="0070298A">
      <w:pPr>
        <w:tabs>
          <w:tab w:val="left" w:pos="142"/>
        </w:tabs>
        <w:spacing w:after="200" w:line="240" w:lineRule="auto"/>
        <w:ind w:right="-284"/>
        <w:jc w:val="both"/>
        <w:rPr>
          <w:rFonts w:ascii="Garamond" w:hAnsi="Garamond"/>
          <w:sz w:val="28"/>
          <w:szCs w:val="28"/>
        </w:rPr>
      </w:pPr>
      <w:r>
        <w:rPr>
          <w:rFonts w:ascii="Garamond" w:hAnsi="Garamond"/>
          <w:sz w:val="28"/>
          <w:szCs w:val="28"/>
        </w:rPr>
        <w:t xml:space="preserve">Arrivé bien après ce débat houleux, </w:t>
      </w:r>
      <w:r w:rsidR="0070298A">
        <w:rPr>
          <w:rFonts w:ascii="Garamond" w:hAnsi="Garamond"/>
          <w:sz w:val="28"/>
          <w:szCs w:val="28"/>
        </w:rPr>
        <w:t>le représentant de Long Fei</w:t>
      </w:r>
      <w:r>
        <w:rPr>
          <w:rFonts w:ascii="Garamond" w:hAnsi="Garamond"/>
          <w:sz w:val="28"/>
          <w:szCs w:val="28"/>
        </w:rPr>
        <w:t xml:space="preserve"> soutient que son entreprise a reçu ces quittances </w:t>
      </w:r>
      <w:r w:rsidR="0070298A">
        <w:rPr>
          <w:rFonts w:ascii="Garamond" w:hAnsi="Garamond"/>
          <w:sz w:val="28"/>
          <w:szCs w:val="28"/>
        </w:rPr>
        <w:t xml:space="preserve">auprès de </w:t>
      </w:r>
      <w:r>
        <w:rPr>
          <w:rFonts w:ascii="Garamond" w:hAnsi="Garamond"/>
          <w:sz w:val="28"/>
          <w:szCs w:val="28"/>
        </w:rPr>
        <w:t xml:space="preserve">la </w:t>
      </w:r>
      <w:proofErr w:type="spellStart"/>
      <w:r>
        <w:rPr>
          <w:rFonts w:ascii="Garamond" w:hAnsi="Garamond"/>
          <w:sz w:val="28"/>
          <w:szCs w:val="28"/>
        </w:rPr>
        <w:t>RawBank</w:t>
      </w:r>
      <w:proofErr w:type="spellEnd"/>
      <w:r>
        <w:rPr>
          <w:rFonts w:ascii="Garamond" w:hAnsi="Garamond"/>
          <w:sz w:val="28"/>
          <w:szCs w:val="28"/>
        </w:rPr>
        <w:t xml:space="preserve">  et qu’il conviendrait</w:t>
      </w:r>
      <w:r w:rsidR="00433371">
        <w:rPr>
          <w:rFonts w:ascii="Garamond" w:hAnsi="Garamond"/>
          <w:sz w:val="28"/>
          <w:szCs w:val="28"/>
        </w:rPr>
        <w:t xml:space="preserve">, </w:t>
      </w:r>
      <w:r>
        <w:rPr>
          <w:rFonts w:ascii="Garamond" w:hAnsi="Garamond"/>
          <w:sz w:val="28"/>
          <w:szCs w:val="28"/>
        </w:rPr>
        <w:t>selon lui</w:t>
      </w:r>
      <w:r w:rsidR="00433371">
        <w:rPr>
          <w:rFonts w:ascii="Garamond" w:hAnsi="Garamond"/>
          <w:sz w:val="28"/>
          <w:szCs w:val="28"/>
        </w:rPr>
        <w:t>,</w:t>
      </w:r>
      <w:r>
        <w:rPr>
          <w:rFonts w:ascii="Garamond" w:hAnsi="Garamond"/>
          <w:sz w:val="28"/>
          <w:szCs w:val="28"/>
        </w:rPr>
        <w:t xml:space="preserve"> avant d’aboutir à une quelconque conclusion d’approcher cette banque pour avoir des explications</w:t>
      </w:r>
      <w:r w:rsidR="00433371">
        <w:rPr>
          <w:rFonts w:ascii="Garamond" w:hAnsi="Garamond"/>
          <w:sz w:val="28"/>
          <w:szCs w:val="28"/>
        </w:rPr>
        <w:t xml:space="preserve"> à ce sujet</w:t>
      </w:r>
      <w:r>
        <w:rPr>
          <w:rFonts w:ascii="Garamond" w:hAnsi="Garamond"/>
          <w:sz w:val="28"/>
          <w:szCs w:val="28"/>
        </w:rPr>
        <w:t>.</w:t>
      </w:r>
    </w:p>
    <w:p w:rsidR="004E3854" w:rsidRDefault="004E3854" w:rsidP="00D14031">
      <w:pPr>
        <w:pStyle w:val="Paragraphedeliste"/>
        <w:numPr>
          <w:ilvl w:val="0"/>
          <w:numId w:val="8"/>
        </w:numPr>
        <w:jc w:val="both"/>
        <w:rPr>
          <w:rFonts w:ascii="Calibri" w:eastAsia="Calibri" w:hAnsi="Calibri" w:cs="Times New Roman"/>
          <w:color w:val="244061"/>
          <w:sz w:val="32"/>
          <w:szCs w:val="28"/>
        </w:rPr>
      </w:pPr>
      <w:r w:rsidRPr="00D14031">
        <w:rPr>
          <w:rFonts w:ascii="Garamond" w:hAnsi="Garamond"/>
          <w:b/>
          <w:sz w:val="28"/>
          <w:szCs w:val="28"/>
        </w:rPr>
        <w:t>Omission de certains paiements</w:t>
      </w:r>
      <w:r w:rsidRPr="00D14031">
        <w:rPr>
          <w:rFonts w:ascii="Calibri" w:eastAsia="Calibri" w:hAnsi="Calibri" w:cs="Times New Roman"/>
          <w:color w:val="244061"/>
          <w:sz w:val="32"/>
          <w:szCs w:val="28"/>
        </w:rPr>
        <w:t xml:space="preserve">. </w:t>
      </w:r>
    </w:p>
    <w:p w:rsidR="00433371" w:rsidRDefault="00433371" w:rsidP="00433371">
      <w:pPr>
        <w:tabs>
          <w:tab w:val="left" w:pos="142"/>
        </w:tabs>
        <w:spacing w:after="200" w:line="240" w:lineRule="auto"/>
        <w:ind w:right="-284"/>
        <w:jc w:val="both"/>
        <w:rPr>
          <w:rFonts w:ascii="Garamond" w:hAnsi="Garamond"/>
          <w:sz w:val="28"/>
          <w:szCs w:val="28"/>
        </w:rPr>
      </w:pPr>
      <w:r>
        <w:rPr>
          <w:rFonts w:ascii="Garamond" w:hAnsi="Garamond"/>
          <w:sz w:val="28"/>
          <w:szCs w:val="28"/>
        </w:rPr>
        <w:t xml:space="preserve">S’agissant de l’omission de certains paiements, les participants ont identifié </w:t>
      </w:r>
      <w:r w:rsidR="00FD71BE">
        <w:rPr>
          <w:rFonts w:ascii="Garamond" w:hAnsi="Garamond"/>
          <w:sz w:val="28"/>
          <w:szCs w:val="28"/>
        </w:rPr>
        <w:t xml:space="preserve">comme </w:t>
      </w:r>
      <w:r>
        <w:rPr>
          <w:rFonts w:ascii="Garamond" w:hAnsi="Garamond"/>
          <w:sz w:val="28"/>
          <w:szCs w:val="28"/>
        </w:rPr>
        <w:t>l’une des causes pouvant expliquer ces omissions</w:t>
      </w:r>
      <w:r w:rsidR="00FD71BE">
        <w:rPr>
          <w:rFonts w:ascii="Garamond" w:hAnsi="Garamond"/>
          <w:sz w:val="28"/>
          <w:szCs w:val="28"/>
        </w:rPr>
        <w:t xml:space="preserve"> le </w:t>
      </w:r>
      <w:r>
        <w:rPr>
          <w:rFonts w:ascii="Garamond" w:hAnsi="Garamond"/>
          <w:sz w:val="28"/>
          <w:szCs w:val="28"/>
        </w:rPr>
        <w:t xml:space="preserve"> fait que dans la plupart des cas les pénalités au trésor sont </w:t>
      </w:r>
      <w:r w:rsidR="00FD71BE">
        <w:rPr>
          <w:rFonts w:ascii="Garamond" w:hAnsi="Garamond"/>
          <w:sz w:val="28"/>
          <w:szCs w:val="28"/>
        </w:rPr>
        <w:t>incluses</w:t>
      </w:r>
      <w:r>
        <w:rPr>
          <w:rFonts w:ascii="Garamond" w:hAnsi="Garamond"/>
          <w:sz w:val="28"/>
          <w:szCs w:val="28"/>
        </w:rPr>
        <w:t xml:space="preserve"> dans le</w:t>
      </w:r>
      <w:r w:rsidR="00FD71BE">
        <w:rPr>
          <w:rFonts w:ascii="Garamond" w:hAnsi="Garamond"/>
          <w:sz w:val="28"/>
          <w:szCs w:val="28"/>
        </w:rPr>
        <w:t>s</w:t>
      </w:r>
      <w:r>
        <w:rPr>
          <w:rFonts w:ascii="Garamond" w:hAnsi="Garamond"/>
          <w:sz w:val="28"/>
          <w:szCs w:val="28"/>
        </w:rPr>
        <w:t xml:space="preserve"> DTI et reprises sur  la même quittance alors qu’il arrive des fois </w:t>
      </w:r>
      <w:r w:rsidR="00FD71BE">
        <w:rPr>
          <w:rFonts w:ascii="Garamond" w:hAnsi="Garamond"/>
          <w:sz w:val="28"/>
          <w:szCs w:val="28"/>
        </w:rPr>
        <w:t>que les pénalités soient renseignées sur une quittance distincte de celle des DTI.</w:t>
      </w:r>
    </w:p>
    <w:p w:rsidR="00433473" w:rsidRDefault="00FD71BE" w:rsidP="00433371">
      <w:pPr>
        <w:tabs>
          <w:tab w:val="left" w:pos="142"/>
        </w:tabs>
        <w:spacing w:after="200" w:line="240" w:lineRule="auto"/>
        <w:ind w:right="-284"/>
        <w:jc w:val="both"/>
        <w:rPr>
          <w:rFonts w:ascii="Garamond" w:hAnsi="Garamond"/>
          <w:sz w:val="28"/>
          <w:szCs w:val="28"/>
        </w:rPr>
      </w:pPr>
      <w:r>
        <w:rPr>
          <w:rFonts w:ascii="Garamond" w:hAnsi="Garamond"/>
          <w:sz w:val="28"/>
          <w:szCs w:val="28"/>
        </w:rPr>
        <w:t>Pour résoudre cette difficulté, il a été recommandé de modifier pour les prochains rapports</w:t>
      </w:r>
      <w:r w:rsidR="006F1B8E">
        <w:rPr>
          <w:rFonts w:ascii="Garamond" w:hAnsi="Garamond"/>
          <w:sz w:val="28"/>
          <w:szCs w:val="28"/>
        </w:rPr>
        <w:t xml:space="preserve"> ITIE</w:t>
      </w:r>
      <w:r>
        <w:rPr>
          <w:rFonts w:ascii="Garamond" w:hAnsi="Garamond"/>
          <w:sz w:val="28"/>
          <w:szCs w:val="28"/>
        </w:rPr>
        <w:t xml:space="preserve"> le libellé du FD ITIE y relatif et de faire en sorte qu</w:t>
      </w:r>
      <w:r w:rsidR="006F1B8E">
        <w:rPr>
          <w:rFonts w:ascii="Garamond" w:hAnsi="Garamond"/>
          <w:sz w:val="28"/>
          <w:szCs w:val="28"/>
        </w:rPr>
        <w:t>e ce FD</w:t>
      </w:r>
      <w:r>
        <w:rPr>
          <w:rFonts w:ascii="Garamond" w:hAnsi="Garamond"/>
          <w:sz w:val="28"/>
          <w:szCs w:val="28"/>
        </w:rPr>
        <w:t xml:space="preserve"> s’approche le plus de la pratique la plus courante. </w:t>
      </w:r>
    </w:p>
    <w:p w:rsidR="00433473" w:rsidRPr="00433473" w:rsidRDefault="001F60E9" w:rsidP="00433473">
      <w:pPr>
        <w:pStyle w:val="Paragraphedeliste"/>
        <w:numPr>
          <w:ilvl w:val="0"/>
          <w:numId w:val="11"/>
        </w:numPr>
        <w:rPr>
          <w:rFonts w:ascii="Garamond" w:hAnsi="Garamond"/>
          <w:b/>
          <w:sz w:val="24"/>
          <w:szCs w:val="24"/>
        </w:rPr>
      </w:pPr>
      <w:r w:rsidRPr="00433473">
        <w:rPr>
          <w:rFonts w:ascii="Garamond" w:hAnsi="Garamond"/>
          <w:b/>
          <w:sz w:val="24"/>
          <w:szCs w:val="24"/>
        </w:rPr>
        <w:t xml:space="preserve">PROPOSITIONS D’ACTIONS A MENER AFIN </w:t>
      </w:r>
      <w:r w:rsidR="00433473" w:rsidRPr="00433473">
        <w:rPr>
          <w:rFonts w:ascii="Garamond" w:hAnsi="Garamond"/>
          <w:b/>
          <w:sz w:val="24"/>
          <w:szCs w:val="24"/>
        </w:rPr>
        <w:t xml:space="preserve">DE REMEDIER A CES DIFFICULTES LORS DES PROCHAINS RAPPORTS ITIE </w:t>
      </w:r>
    </w:p>
    <w:p w:rsidR="001F60E9" w:rsidRDefault="001F60E9" w:rsidP="001F60E9">
      <w:pPr>
        <w:tabs>
          <w:tab w:val="left" w:pos="142"/>
        </w:tabs>
        <w:spacing w:after="200" w:line="240" w:lineRule="auto"/>
        <w:ind w:right="-284"/>
        <w:jc w:val="both"/>
        <w:rPr>
          <w:rFonts w:ascii="Garamond" w:hAnsi="Garamond"/>
          <w:sz w:val="28"/>
          <w:szCs w:val="28"/>
        </w:rPr>
      </w:pPr>
      <w:r w:rsidRPr="001F60E9">
        <w:rPr>
          <w:rFonts w:ascii="Garamond" w:hAnsi="Garamond"/>
          <w:sz w:val="28"/>
          <w:szCs w:val="28"/>
        </w:rPr>
        <w:t xml:space="preserve">Après avoir </w:t>
      </w:r>
      <w:r>
        <w:rPr>
          <w:rFonts w:ascii="Garamond" w:hAnsi="Garamond"/>
          <w:sz w:val="28"/>
          <w:szCs w:val="28"/>
        </w:rPr>
        <w:t>revu</w:t>
      </w:r>
      <w:r w:rsidRPr="001F60E9">
        <w:rPr>
          <w:rFonts w:ascii="Garamond" w:hAnsi="Garamond"/>
          <w:sz w:val="28"/>
          <w:szCs w:val="28"/>
        </w:rPr>
        <w:t xml:space="preserve"> le système de déclaration de</w:t>
      </w:r>
      <w:r>
        <w:rPr>
          <w:rFonts w:ascii="Garamond" w:hAnsi="Garamond"/>
          <w:sz w:val="28"/>
          <w:szCs w:val="28"/>
        </w:rPr>
        <w:t>s paiements de</w:t>
      </w:r>
      <w:r w:rsidRPr="001F60E9">
        <w:rPr>
          <w:rFonts w:ascii="Garamond" w:hAnsi="Garamond"/>
          <w:sz w:val="28"/>
          <w:szCs w:val="28"/>
        </w:rPr>
        <w:t xml:space="preserve"> la DGDA et tenté d’expliquer les causes des écarts constatés dans le rapport ITIE-RDC 2014</w:t>
      </w:r>
      <w:r>
        <w:rPr>
          <w:rFonts w:ascii="Garamond" w:hAnsi="Garamond"/>
          <w:sz w:val="28"/>
          <w:szCs w:val="28"/>
        </w:rPr>
        <w:t xml:space="preserve">, les participants à cette réunion ont été invités à formuler des propositions pour résoudre ces difficultés lors des prochains rapports ITIE. </w:t>
      </w:r>
    </w:p>
    <w:p w:rsidR="001F60E9" w:rsidRDefault="005E2C20" w:rsidP="005E2C20">
      <w:pPr>
        <w:tabs>
          <w:tab w:val="left" w:pos="142"/>
        </w:tabs>
        <w:spacing w:after="200" w:line="240" w:lineRule="auto"/>
        <w:ind w:right="-284"/>
        <w:jc w:val="both"/>
        <w:rPr>
          <w:rFonts w:ascii="Garamond" w:hAnsi="Garamond"/>
          <w:sz w:val="28"/>
          <w:szCs w:val="28"/>
        </w:rPr>
      </w:pPr>
      <w:r>
        <w:rPr>
          <w:rFonts w:ascii="Garamond" w:hAnsi="Garamond"/>
          <w:sz w:val="28"/>
          <w:szCs w:val="28"/>
        </w:rPr>
        <w:t>Les propositions ci-après ont été formulées :</w:t>
      </w:r>
    </w:p>
    <w:p w:rsidR="005E2C20" w:rsidRDefault="005E2C20" w:rsidP="005E2C20">
      <w:pPr>
        <w:pStyle w:val="Paragraphedeliste"/>
        <w:numPr>
          <w:ilvl w:val="0"/>
          <w:numId w:val="25"/>
        </w:numPr>
        <w:tabs>
          <w:tab w:val="left" w:pos="142"/>
        </w:tabs>
        <w:spacing w:after="200" w:line="240" w:lineRule="auto"/>
        <w:ind w:right="-284"/>
        <w:jc w:val="both"/>
        <w:rPr>
          <w:rFonts w:ascii="Garamond" w:hAnsi="Garamond"/>
          <w:sz w:val="28"/>
          <w:szCs w:val="28"/>
        </w:rPr>
      </w:pPr>
      <w:r>
        <w:rPr>
          <w:rFonts w:ascii="Garamond" w:hAnsi="Garamond"/>
          <w:sz w:val="28"/>
          <w:szCs w:val="28"/>
        </w:rPr>
        <w:t>Que les entreprises puissent être à mesure de suivre dans Sydonia leurs paiements à la douane et  les comparer avec les données fournies par les agences en douane :</w:t>
      </w:r>
    </w:p>
    <w:p w:rsidR="005E2C20" w:rsidRDefault="005E2C20" w:rsidP="005E2C20">
      <w:pPr>
        <w:pStyle w:val="Paragraphedeliste"/>
        <w:numPr>
          <w:ilvl w:val="2"/>
          <w:numId w:val="26"/>
        </w:numPr>
        <w:tabs>
          <w:tab w:val="left" w:pos="142"/>
        </w:tabs>
        <w:spacing w:after="200" w:line="240" w:lineRule="auto"/>
        <w:ind w:right="-284"/>
        <w:jc w:val="both"/>
        <w:rPr>
          <w:rFonts w:ascii="Garamond" w:hAnsi="Garamond"/>
          <w:sz w:val="28"/>
          <w:szCs w:val="28"/>
        </w:rPr>
      </w:pPr>
      <w:r w:rsidRPr="005E2C20">
        <w:rPr>
          <w:rFonts w:ascii="Garamond" w:hAnsi="Garamond"/>
          <w:sz w:val="28"/>
          <w:szCs w:val="28"/>
        </w:rPr>
        <w:t>Pour ce faire, il faut qu</w:t>
      </w:r>
      <w:r>
        <w:rPr>
          <w:rFonts w:ascii="Garamond" w:hAnsi="Garamond"/>
          <w:sz w:val="28"/>
          <w:szCs w:val="28"/>
        </w:rPr>
        <w:t>e les entreprises</w:t>
      </w:r>
      <w:r w:rsidRPr="005E2C20">
        <w:rPr>
          <w:rFonts w:ascii="Garamond" w:hAnsi="Garamond"/>
          <w:sz w:val="28"/>
          <w:szCs w:val="28"/>
        </w:rPr>
        <w:t xml:space="preserve"> aient</w:t>
      </w:r>
      <w:r w:rsidR="00433473">
        <w:rPr>
          <w:rFonts w:ascii="Garamond" w:hAnsi="Garamond"/>
          <w:sz w:val="28"/>
          <w:szCs w:val="28"/>
        </w:rPr>
        <w:t xml:space="preserve"> les accès </w:t>
      </w:r>
      <w:r w:rsidRPr="005E2C20">
        <w:rPr>
          <w:rFonts w:ascii="Garamond" w:hAnsi="Garamond"/>
          <w:sz w:val="28"/>
          <w:szCs w:val="28"/>
        </w:rPr>
        <w:t>nécessaires dans Sydonia pour effectuer ces vérifications. Seulement, certaines entreprises ne disposent</w:t>
      </w:r>
      <w:r>
        <w:rPr>
          <w:rFonts w:ascii="Garamond" w:hAnsi="Garamond"/>
          <w:sz w:val="28"/>
          <w:szCs w:val="28"/>
        </w:rPr>
        <w:t xml:space="preserve"> pas</w:t>
      </w:r>
      <w:r w:rsidRPr="005E2C20">
        <w:rPr>
          <w:rFonts w:ascii="Garamond" w:hAnsi="Garamond"/>
          <w:sz w:val="28"/>
          <w:szCs w:val="28"/>
        </w:rPr>
        <w:t xml:space="preserve"> d’un équipement informatique adéquat. </w:t>
      </w:r>
    </w:p>
    <w:p w:rsidR="00433473" w:rsidRPr="00433473" w:rsidRDefault="00433473" w:rsidP="00433473">
      <w:pPr>
        <w:pStyle w:val="Paragraphedeliste"/>
        <w:tabs>
          <w:tab w:val="left" w:pos="142"/>
        </w:tabs>
        <w:spacing w:after="200" w:line="240" w:lineRule="auto"/>
        <w:ind w:left="1080" w:right="-284"/>
        <w:jc w:val="both"/>
        <w:rPr>
          <w:rFonts w:ascii="Garamond" w:hAnsi="Garamond"/>
          <w:sz w:val="14"/>
          <w:szCs w:val="28"/>
        </w:rPr>
      </w:pPr>
    </w:p>
    <w:p w:rsidR="005E2C20" w:rsidRDefault="006123C8" w:rsidP="005E2C20">
      <w:pPr>
        <w:pStyle w:val="Paragraphedeliste"/>
        <w:numPr>
          <w:ilvl w:val="0"/>
          <w:numId w:val="25"/>
        </w:numPr>
        <w:tabs>
          <w:tab w:val="left" w:pos="142"/>
        </w:tabs>
        <w:spacing w:after="200" w:line="240" w:lineRule="auto"/>
        <w:ind w:right="-284"/>
        <w:jc w:val="both"/>
        <w:rPr>
          <w:rFonts w:ascii="Garamond" w:hAnsi="Garamond"/>
          <w:sz w:val="28"/>
          <w:szCs w:val="28"/>
        </w:rPr>
      </w:pPr>
      <w:r>
        <w:rPr>
          <w:rFonts w:ascii="Garamond" w:hAnsi="Garamond"/>
          <w:sz w:val="28"/>
          <w:szCs w:val="28"/>
        </w:rPr>
        <w:t>Que</w:t>
      </w:r>
      <w:r w:rsidRPr="006123C8">
        <w:rPr>
          <w:rFonts w:ascii="Garamond" w:hAnsi="Garamond"/>
          <w:sz w:val="28"/>
          <w:szCs w:val="28"/>
        </w:rPr>
        <w:t xml:space="preserve"> les entreprises non membre</w:t>
      </w:r>
      <w:r w:rsidR="003D6335">
        <w:rPr>
          <w:rFonts w:ascii="Garamond" w:hAnsi="Garamond"/>
          <w:sz w:val="28"/>
          <w:szCs w:val="28"/>
        </w:rPr>
        <w:t>s</w:t>
      </w:r>
      <w:r w:rsidRPr="006123C8">
        <w:rPr>
          <w:rFonts w:ascii="Garamond" w:hAnsi="Garamond"/>
          <w:sz w:val="28"/>
          <w:szCs w:val="28"/>
        </w:rPr>
        <w:t xml:space="preserve"> de la Chambre des Mines </w:t>
      </w:r>
      <w:r>
        <w:rPr>
          <w:rFonts w:ascii="Garamond" w:hAnsi="Garamond"/>
          <w:sz w:val="28"/>
          <w:szCs w:val="28"/>
        </w:rPr>
        <w:t>puisse</w:t>
      </w:r>
      <w:r w:rsidR="003D6335">
        <w:rPr>
          <w:rFonts w:ascii="Garamond" w:hAnsi="Garamond"/>
          <w:sz w:val="28"/>
          <w:szCs w:val="28"/>
        </w:rPr>
        <w:t>nt</w:t>
      </w:r>
      <w:r>
        <w:rPr>
          <w:rFonts w:ascii="Garamond" w:hAnsi="Garamond"/>
          <w:sz w:val="28"/>
          <w:szCs w:val="28"/>
        </w:rPr>
        <w:t xml:space="preserve"> </w:t>
      </w:r>
      <w:r w:rsidRPr="006123C8">
        <w:rPr>
          <w:rFonts w:ascii="Garamond" w:hAnsi="Garamond"/>
          <w:sz w:val="28"/>
          <w:szCs w:val="28"/>
        </w:rPr>
        <w:t xml:space="preserve">intégrer cette organisation patronale suivant le Décret n°10/18 du 22 avril 2010 qui </w:t>
      </w:r>
      <w:r w:rsidRPr="006123C8">
        <w:rPr>
          <w:rFonts w:ascii="Garamond" w:hAnsi="Garamond"/>
          <w:sz w:val="28"/>
          <w:szCs w:val="28"/>
        </w:rPr>
        <w:lastRenderedPageBreak/>
        <w:t>appelle les entreprises industrielles et commerciales œuvrant en RDC à intégrer les associations professionnelles</w:t>
      </w:r>
      <w:r>
        <w:rPr>
          <w:rFonts w:ascii="Garamond" w:hAnsi="Garamond"/>
          <w:sz w:val="28"/>
          <w:szCs w:val="28"/>
        </w:rPr>
        <w:t xml:space="preserve"> dûment reconnues par l’Etat.</w:t>
      </w:r>
      <w:r w:rsidRPr="006123C8">
        <w:rPr>
          <w:rFonts w:ascii="Garamond" w:hAnsi="Garamond"/>
          <w:sz w:val="28"/>
          <w:szCs w:val="28"/>
        </w:rPr>
        <w:t xml:space="preserve">  </w:t>
      </w:r>
    </w:p>
    <w:p w:rsidR="006123C8" w:rsidRPr="00433473" w:rsidRDefault="006123C8" w:rsidP="006123C8">
      <w:pPr>
        <w:pStyle w:val="Paragraphedeliste"/>
        <w:tabs>
          <w:tab w:val="left" w:pos="142"/>
        </w:tabs>
        <w:spacing w:after="200" w:line="240" w:lineRule="auto"/>
        <w:ind w:right="-284"/>
        <w:jc w:val="both"/>
        <w:rPr>
          <w:rFonts w:ascii="Garamond" w:hAnsi="Garamond"/>
          <w:sz w:val="14"/>
          <w:szCs w:val="28"/>
        </w:rPr>
      </w:pPr>
    </w:p>
    <w:p w:rsidR="005E2C20" w:rsidRDefault="005E2C20" w:rsidP="005E2C20">
      <w:pPr>
        <w:pStyle w:val="Paragraphedeliste"/>
        <w:numPr>
          <w:ilvl w:val="0"/>
          <w:numId w:val="25"/>
        </w:numPr>
        <w:tabs>
          <w:tab w:val="left" w:pos="142"/>
        </w:tabs>
        <w:spacing w:after="200" w:line="240" w:lineRule="auto"/>
        <w:ind w:right="-284"/>
        <w:jc w:val="both"/>
        <w:rPr>
          <w:rFonts w:ascii="Garamond" w:hAnsi="Garamond"/>
          <w:sz w:val="28"/>
          <w:szCs w:val="28"/>
        </w:rPr>
      </w:pPr>
      <w:r>
        <w:rPr>
          <w:rFonts w:ascii="Garamond" w:hAnsi="Garamond"/>
          <w:sz w:val="28"/>
          <w:szCs w:val="28"/>
        </w:rPr>
        <w:t xml:space="preserve">Que la DGDA puisse </w:t>
      </w:r>
      <w:r w:rsidRPr="005E2C20">
        <w:rPr>
          <w:rFonts w:ascii="Garamond" w:hAnsi="Garamond"/>
          <w:sz w:val="28"/>
          <w:szCs w:val="28"/>
        </w:rPr>
        <w:t xml:space="preserve">communiquer aux entreprises extractives et à leurs transitaires une nomenclature claire des différentes taxes à payer pour les opérations </w:t>
      </w:r>
      <w:r w:rsidR="003D6335">
        <w:rPr>
          <w:rFonts w:ascii="Garamond" w:hAnsi="Garamond"/>
          <w:sz w:val="28"/>
          <w:szCs w:val="28"/>
        </w:rPr>
        <w:t>de la douane afin de permettre</w:t>
      </w:r>
      <w:r w:rsidRPr="005E2C20">
        <w:rPr>
          <w:rFonts w:ascii="Garamond" w:hAnsi="Garamond"/>
          <w:sz w:val="28"/>
          <w:szCs w:val="28"/>
        </w:rPr>
        <w:t xml:space="preserve"> à ces derniers d’avoir une idée au </w:t>
      </w:r>
      <w:r>
        <w:rPr>
          <w:rFonts w:ascii="Garamond" w:hAnsi="Garamond"/>
          <w:sz w:val="28"/>
          <w:szCs w:val="28"/>
        </w:rPr>
        <w:t xml:space="preserve">préalable des taxes applicables : </w:t>
      </w:r>
    </w:p>
    <w:p w:rsidR="005E2C20" w:rsidRPr="005E2C20" w:rsidRDefault="005E2C20" w:rsidP="005E2C20">
      <w:pPr>
        <w:pStyle w:val="Paragraphedeliste"/>
        <w:rPr>
          <w:rFonts w:ascii="Garamond" w:hAnsi="Garamond"/>
          <w:sz w:val="2"/>
          <w:szCs w:val="28"/>
        </w:rPr>
      </w:pPr>
    </w:p>
    <w:p w:rsidR="005E2C20" w:rsidRDefault="006123C8" w:rsidP="005E2C20">
      <w:pPr>
        <w:pStyle w:val="Paragraphedeliste"/>
        <w:numPr>
          <w:ilvl w:val="2"/>
          <w:numId w:val="26"/>
        </w:numPr>
        <w:tabs>
          <w:tab w:val="left" w:pos="142"/>
        </w:tabs>
        <w:spacing w:after="200" w:line="240" w:lineRule="auto"/>
        <w:ind w:right="-284"/>
        <w:jc w:val="both"/>
        <w:rPr>
          <w:rFonts w:ascii="Garamond" w:hAnsi="Garamond"/>
          <w:sz w:val="28"/>
          <w:szCs w:val="28"/>
        </w:rPr>
      </w:pPr>
      <w:r>
        <w:rPr>
          <w:rFonts w:ascii="Garamond" w:hAnsi="Garamond"/>
          <w:sz w:val="28"/>
          <w:szCs w:val="28"/>
        </w:rPr>
        <w:t xml:space="preserve">Pour la DGDA, </w:t>
      </w:r>
      <w:r w:rsidR="005E2C20">
        <w:rPr>
          <w:rFonts w:ascii="Garamond" w:hAnsi="Garamond"/>
          <w:sz w:val="28"/>
          <w:szCs w:val="28"/>
        </w:rPr>
        <w:t xml:space="preserve">il faudrait </w:t>
      </w:r>
      <w:r w:rsidR="00433473">
        <w:rPr>
          <w:rFonts w:ascii="Garamond" w:hAnsi="Garamond"/>
          <w:sz w:val="28"/>
          <w:szCs w:val="28"/>
        </w:rPr>
        <w:t xml:space="preserve">plutôt </w:t>
      </w:r>
      <w:r w:rsidR="005E2C20">
        <w:rPr>
          <w:rFonts w:ascii="Garamond" w:hAnsi="Garamond"/>
          <w:sz w:val="28"/>
          <w:szCs w:val="28"/>
        </w:rPr>
        <w:t xml:space="preserve">se référer à l’AI qui lors de la détermination du cadrage définit le cadre référentiel des flux relatifs à la </w:t>
      </w:r>
      <w:r w:rsidR="003D6335">
        <w:rPr>
          <w:rFonts w:ascii="Garamond" w:hAnsi="Garamond"/>
          <w:sz w:val="28"/>
          <w:szCs w:val="28"/>
        </w:rPr>
        <w:t>douane.</w:t>
      </w:r>
    </w:p>
    <w:p w:rsidR="00433473" w:rsidRPr="00433473" w:rsidRDefault="00433473" w:rsidP="00433473">
      <w:pPr>
        <w:pStyle w:val="Paragraphedeliste"/>
        <w:tabs>
          <w:tab w:val="left" w:pos="142"/>
        </w:tabs>
        <w:spacing w:after="200" w:line="240" w:lineRule="auto"/>
        <w:ind w:left="1080" w:right="-284"/>
        <w:jc w:val="both"/>
        <w:rPr>
          <w:rFonts w:ascii="Garamond" w:hAnsi="Garamond"/>
          <w:sz w:val="14"/>
          <w:szCs w:val="28"/>
        </w:rPr>
      </w:pPr>
    </w:p>
    <w:p w:rsidR="005E2C20" w:rsidRPr="005E2C20" w:rsidRDefault="005E2C20" w:rsidP="005E2C20">
      <w:pPr>
        <w:pStyle w:val="Paragraphedeliste"/>
        <w:tabs>
          <w:tab w:val="left" w:pos="142"/>
        </w:tabs>
        <w:spacing w:after="200" w:line="240" w:lineRule="auto"/>
        <w:ind w:right="-284"/>
        <w:jc w:val="both"/>
        <w:rPr>
          <w:rFonts w:ascii="Garamond" w:hAnsi="Garamond"/>
          <w:sz w:val="2"/>
          <w:szCs w:val="28"/>
        </w:rPr>
      </w:pPr>
    </w:p>
    <w:p w:rsidR="006123C8" w:rsidRPr="006123C8" w:rsidRDefault="005E2C20" w:rsidP="006123C8">
      <w:pPr>
        <w:pStyle w:val="Paragraphedeliste"/>
        <w:numPr>
          <w:ilvl w:val="0"/>
          <w:numId w:val="25"/>
        </w:numPr>
        <w:tabs>
          <w:tab w:val="left" w:pos="142"/>
        </w:tabs>
        <w:spacing w:after="200" w:line="240" w:lineRule="auto"/>
        <w:ind w:right="-284"/>
        <w:jc w:val="both"/>
        <w:rPr>
          <w:rFonts w:ascii="Garamond" w:hAnsi="Garamond"/>
          <w:sz w:val="28"/>
          <w:szCs w:val="28"/>
        </w:rPr>
      </w:pPr>
      <w:r w:rsidRPr="006123C8">
        <w:rPr>
          <w:rFonts w:ascii="Garamond" w:hAnsi="Garamond"/>
          <w:sz w:val="28"/>
          <w:szCs w:val="28"/>
        </w:rPr>
        <w:t>Que les entreprises dissocient dans leur comptabilité les flux payés en tant que frais de commissions</w:t>
      </w:r>
      <w:r w:rsidR="006123C8" w:rsidRPr="006123C8">
        <w:rPr>
          <w:rFonts w:ascii="Garamond" w:hAnsi="Garamond"/>
          <w:sz w:val="28"/>
          <w:szCs w:val="28"/>
        </w:rPr>
        <w:t xml:space="preserve"> des agences </w:t>
      </w:r>
      <w:r w:rsidRPr="006123C8">
        <w:rPr>
          <w:rFonts w:ascii="Garamond" w:hAnsi="Garamond"/>
          <w:sz w:val="28"/>
          <w:szCs w:val="28"/>
        </w:rPr>
        <w:t xml:space="preserve">en douane </w:t>
      </w:r>
      <w:r w:rsidR="006123C8" w:rsidRPr="006123C8">
        <w:rPr>
          <w:rFonts w:ascii="Garamond" w:hAnsi="Garamond"/>
          <w:sz w:val="28"/>
          <w:szCs w:val="28"/>
        </w:rPr>
        <w:t>d</w:t>
      </w:r>
      <w:r w:rsidRPr="006123C8">
        <w:rPr>
          <w:rFonts w:ascii="Garamond" w:hAnsi="Garamond"/>
          <w:sz w:val="28"/>
          <w:szCs w:val="28"/>
        </w:rPr>
        <w:t>e</w:t>
      </w:r>
      <w:r w:rsidR="006123C8">
        <w:rPr>
          <w:rFonts w:ascii="Garamond" w:hAnsi="Garamond"/>
          <w:sz w:val="28"/>
          <w:szCs w:val="28"/>
        </w:rPr>
        <w:t xml:space="preserve">s taxes </w:t>
      </w:r>
      <w:r w:rsidR="00433473">
        <w:rPr>
          <w:rFonts w:ascii="Garamond" w:hAnsi="Garamond"/>
          <w:sz w:val="28"/>
          <w:szCs w:val="28"/>
        </w:rPr>
        <w:t>versées</w:t>
      </w:r>
      <w:r w:rsidR="006123C8">
        <w:rPr>
          <w:rFonts w:ascii="Garamond" w:hAnsi="Garamond"/>
          <w:sz w:val="28"/>
          <w:szCs w:val="28"/>
        </w:rPr>
        <w:t xml:space="preserve"> au trésor public.</w:t>
      </w:r>
    </w:p>
    <w:p w:rsidR="005E2C20" w:rsidRDefault="006123C8" w:rsidP="006123C8">
      <w:pPr>
        <w:pStyle w:val="Paragraphedeliste"/>
        <w:numPr>
          <w:ilvl w:val="2"/>
          <w:numId w:val="26"/>
        </w:numPr>
        <w:tabs>
          <w:tab w:val="left" w:pos="142"/>
        </w:tabs>
        <w:spacing w:after="200" w:line="240" w:lineRule="auto"/>
        <w:ind w:right="-284"/>
        <w:jc w:val="both"/>
        <w:rPr>
          <w:rFonts w:ascii="Garamond" w:hAnsi="Garamond"/>
          <w:sz w:val="28"/>
          <w:szCs w:val="28"/>
        </w:rPr>
      </w:pPr>
      <w:r>
        <w:rPr>
          <w:rFonts w:ascii="Garamond" w:hAnsi="Garamond"/>
          <w:sz w:val="28"/>
          <w:szCs w:val="28"/>
        </w:rPr>
        <w:t xml:space="preserve">Selon la DGDA soutenue par </w:t>
      </w:r>
      <w:r w:rsidR="003D6335">
        <w:rPr>
          <w:rFonts w:ascii="Garamond" w:hAnsi="Garamond"/>
          <w:sz w:val="28"/>
          <w:szCs w:val="28"/>
        </w:rPr>
        <w:t>la</w:t>
      </w:r>
      <w:r>
        <w:rPr>
          <w:rFonts w:ascii="Garamond" w:hAnsi="Garamond"/>
          <w:sz w:val="28"/>
          <w:szCs w:val="28"/>
        </w:rPr>
        <w:t xml:space="preserve"> représentant</w:t>
      </w:r>
      <w:r w:rsidR="003D6335">
        <w:rPr>
          <w:rFonts w:ascii="Garamond" w:hAnsi="Garamond"/>
          <w:sz w:val="28"/>
          <w:szCs w:val="28"/>
        </w:rPr>
        <w:t>e d’une entreprise, cette question  ne se pose pas car en pratique la désagrégation se fait déjà au niveau de la quittance qui, en plus de fournir clairement les différents libellés des taxes concerné</w:t>
      </w:r>
      <w:r w:rsidR="006F1B8E">
        <w:rPr>
          <w:rFonts w:ascii="Garamond" w:hAnsi="Garamond"/>
          <w:sz w:val="28"/>
          <w:szCs w:val="28"/>
        </w:rPr>
        <w:t>e</w:t>
      </w:r>
      <w:r w:rsidR="003D6335">
        <w:rPr>
          <w:rFonts w:ascii="Garamond" w:hAnsi="Garamond"/>
          <w:sz w:val="28"/>
          <w:szCs w:val="28"/>
        </w:rPr>
        <w:t>s, ne reprend pas les commissions des agences en douane.</w:t>
      </w:r>
    </w:p>
    <w:p w:rsidR="00433473" w:rsidRPr="00433473" w:rsidRDefault="00433473" w:rsidP="00433473">
      <w:pPr>
        <w:pStyle w:val="Paragraphedeliste"/>
        <w:tabs>
          <w:tab w:val="left" w:pos="142"/>
        </w:tabs>
        <w:spacing w:after="200" w:line="240" w:lineRule="auto"/>
        <w:ind w:left="1080" w:right="-284"/>
        <w:jc w:val="both"/>
        <w:rPr>
          <w:rFonts w:ascii="Garamond" w:hAnsi="Garamond"/>
          <w:sz w:val="12"/>
          <w:szCs w:val="28"/>
        </w:rPr>
      </w:pPr>
    </w:p>
    <w:p w:rsidR="00D45E80" w:rsidRDefault="00D45E80" w:rsidP="00D45E80">
      <w:pPr>
        <w:pStyle w:val="Paragraphedeliste"/>
        <w:numPr>
          <w:ilvl w:val="0"/>
          <w:numId w:val="25"/>
        </w:numPr>
        <w:tabs>
          <w:tab w:val="left" w:pos="142"/>
        </w:tabs>
        <w:spacing w:after="200" w:line="240" w:lineRule="auto"/>
        <w:ind w:right="-284"/>
        <w:jc w:val="both"/>
        <w:rPr>
          <w:rFonts w:ascii="Garamond" w:hAnsi="Garamond"/>
          <w:sz w:val="28"/>
          <w:szCs w:val="28"/>
        </w:rPr>
      </w:pPr>
      <w:r>
        <w:rPr>
          <w:rFonts w:ascii="Garamond" w:hAnsi="Garamond"/>
          <w:sz w:val="28"/>
          <w:szCs w:val="28"/>
        </w:rPr>
        <w:t>Que</w:t>
      </w:r>
      <w:r w:rsidR="005E2C20" w:rsidRPr="005E2C20">
        <w:rPr>
          <w:rFonts w:ascii="Garamond" w:hAnsi="Garamond"/>
          <w:sz w:val="28"/>
          <w:szCs w:val="28"/>
        </w:rPr>
        <w:t xml:space="preserve"> l’Administrateur Indépendant </w:t>
      </w:r>
      <w:r>
        <w:rPr>
          <w:rFonts w:ascii="Garamond" w:hAnsi="Garamond"/>
          <w:sz w:val="28"/>
          <w:szCs w:val="28"/>
        </w:rPr>
        <w:t>consulte</w:t>
      </w:r>
      <w:r w:rsidR="005E2C20" w:rsidRPr="005E2C20">
        <w:rPr>
          <w:rFonts w:ascii="Garamond" w:hAnsi="Garamond"/>
          <w:sz w:val="28"/>
          <w:szCs w:val="28"/>
        </w:rPr>
        <w:t xml:space="preserve"> les transitaires et les banques commerciales comme source de contre-vérification complémentaire de l’explication de la DGDA et des entreprises en cas d’écarts significatifs.</w:t>
      </w:r>
    </w:p>
    <w:p w:rsidR="009A2D35" w:rsidRDefault="00D45E80" w:rsidP="00D45E80">
      <w:pPr>
        <w:tabs>
          <w:tab w:val="left" w:pos="142"/>
        </w:tabs>
        <w:spacing w:after="200" w:line="240" w:lineRule="auto"/>
        <w:ind w:right="-284"/>
        <w:jc w:val="both"/>
        <w:rPr>
          <w:rFonts w:ascii="Garamond" w:hAnsi="Garamond"/>
          <w:sz w:val="28"/>
          <w:szCs w:val="28"/>
        </w:rPr>
      </w:pPr>
      <w:r>
        <w:rPr>
          <w:rFonts w:ascii="Garamond" w:hAnsi="Garamond"/>
          <w:sz w:val="28"/>
          <w:szCs w:val="28"/>
        </w:rPr>
        <w:t xml:space="preserve">De tout ce qui précède, </w:t>
      </w:r>
      <w:r w:rsidR="005E2C20" w:rsidRPr="00D45E80">
        <w:rPr>
          <w:rFonts w:ascii="Garamond" w:hAnsi="Garamond"/>
          <w:sz w:val="28"/>
          <w:szCs w:val="28"/>
        </w:rPr>
        <w:t xml:space="preserve"> </w:t>
      </w:r>
      <w:r>
        <w:rPr>
          <w:rFonts w:ascii="Garamond" w:hAnsi="Garamond"/>
          <w:sz w:val="28"/>
          <w:szCs w:val="28"/>
        </w:rPr>
        <w:t xml:space="preserve">il a été convenu l’organisation dans les prochains jours d’un atelier de mise à niveau des parties prenantes à la déclaration de la DGDA. </w:t>
      </w:r>
    </w:p>
    <w:p w:rsidR="009A2D35" w:rsidRDefault="009A2D35" w:rsidP="009A2D35">
      <w:pPr>
        <w:jc w:val="both"/>
        <w:rPr>
          <w:rFonts w:ascii="Garamond" w:hAnsi="Garamond"/>
          <w:sz w:val="28"/>
          <w:szCs w:val="28"/>
        </w:rPr>
      </w:pPr>
      <w:r>
        <w:rPr>
          <w:rFonts w:ascii="Garamond" w:hAnsi="Garamond"/>
          <w:sz w:val="28"/>
          <w:szCs w:val="28"/>
        </w:rPr>
        <w:t xml:space="preserve">Commencée </w:t>
      </w:r>
      <w:r w:rsidR="00D45E80">
        <w:rPr>
          <w:rFonts w:ascii="Garamond" w:hAnsi="Garamond"/>
          <w:sz w:val="28"/>
          <w:szCs w:val="28"/>
        </w:rPr>
        <w:t xml:space="preserve">le 13 avril 2016 </w:t>
      </w:r>
      <w:r>
        <w:rPr>
          <w:rFonts w:ascii="Garamond" w:hAnsi="Garamond"/>
          <w:sz w:val="28"/>
          <w:szCs w:val="28"/>
        </w:rPr>
        <w:t xml:space="preserve">à </w:t>
      </w:r>
      <w:r w:rsidR="00D45E80">
        <w:rPr>
          <w:rFonts w:ascii="Garamond" w:hAnsi="Garamond"/>
          <w:sz w:val="28"/>
          <w:szCs w:val="28"/>
        </w:rPr>
        <w:t>10h0</w:t>
      </w:r>
      <w:r>
        <w:rPr>
          <w:rFonts w:ascii="Garamond" w:hAnsi="Garamond"/>
          <w:sz w:val="28"/>
          <w:szCs w:val="28"/>
        </w:rPr>
        <w:t xml:space="preserve">0, la réunion a pris fin </w:t>
      </w:r>
      <w:r w:rsidR="00D45E80">
        <w:rPr>
          <w:rFonts w:ascii="Garamond" w:hAnsi="Garamond"/>
          <w:sz w:val="28"/>
          <w:szCs w:val="28"/>
        </w:rPr>
        <w:t xml:space="preserve">le 14 avril 2016 </w:t>
      </w:r>
      <w:r>
        <w:rPr>
          <w:rFonts w:ascii="Garamond" w:hAnsi="Garamond"/>
          <w:sz w:val="28"/>
          <w:szCs w:val="28"/>
        </w:rPr>
        <w:t>à 13h05’.</w:t>
      </w:r>
    </w:p>
    <w:p w:rsidR="00D45E80" w:rsidRDefault="00D45E80" w:rsidP="009A2D35">
      <w:pPr>
        <w:jc w:val="both"/>
        <w:rPr>
          <w:rFonts w:ascii="Garamond" w:hAnsi="Garamond"/>
          <w:sz w:val="28"/>
          <w:szCs w:val="28"/>
        </w:rPr>
      </w:pPr>
    </w:p>
    <w:p w:rsidR="00D45E80" w:rsidRDefault="00D45E80" w:rsidP="009A2D35">
      <w:pPr>
        <w:jc w:val="both"/>
        <w:rPr>
          <w:rFonts w:ascii="Garamond" w:hAnsi="Garamond"/>
          <w:sz w:val="28"/>
          <w:szCs w:val="28"/>
        </w:rPr>
      </w:pPr>
      <w:r>
        <w:rPr>
          <w:rFonts w:ascii="Garamond" w:hAnsi="Garamond"/>
          <w:sz w:val="28"/>
          <w:szCs w:val="28"/>
        </w:rPr>
        <w:tab/>
      </w:r>
      <w:r w:rsidR="00403357">
        <w:rPr>
          <w:rFonts w:ascii="Garamond" w:hAnsi="Garamond"/>
          <w:sz w:val="28"/>
          <w:szCs w:val="28"/>
        </w:rPr>
        <w:tab/>
      </w:r>
      <w:r w:rsidR="00403357">
        <w:rPr>
          <w:rFonts w:ascii="Garamond" w:hAnsi="Garamond"/>
          <w:sz w:val="28"/>
          <w:szCs w:val="28"/>
        </w:rPr>
        <w:tab/>
      </w:r>
      <w:r w:rsidR="00403357">
        <w:rPr>
          <w:rFonts w:ascii="Garamond" w:hAnsi="Garamond"/>
          <w:sz w:val="28"/>
          <w:szCs w:val="28"/>
        </w:rPr>
        <w:tab/>
      </w:r>
      <w:r w:rsidR="00403357">
        <w:rPr>
          <w:rFonts w:ascii="Garamond" w:hAnsi="Garamond"/>
          <w:sz w:val="28"/>
          <w:szCs w:val="28"/>
        </w:rPr>
        <w:tab/>
      </w:r>
      <w:r w:rsidR="00403357">
        <w:rPr>
          <w:rFonts w:ascii="Garamond" w:hAnsi="Garamond"/>
          <w:sz w:val="28"/>
          <w:szCs w:val="28"/>
        </w:rPr>
        <w:tab/>
      </w:r>
      <w:r w:rsidR="00403357">
        <w:rPr>
          <w:rFonts w:ascii="Garamond" w:hAnsi="Garamond"/>
          <w:sz w:val="28"/>
          <w:szCs w:val="28"/>
        </w:rPr>
        <w:tab/>
      </w:r>
      <w:bookmarkStart w:id="0" w:name="_GoBack"/>
      <w:bookmarkEnd w:id="0"/>
      <w:r>
        <w:rPr>
          <w:rFonts w:ascii="Garamond" w:hAnsi="Garamond"/>
          <w:sz w:val="28"/>
          <w:szCs w:val="28"/>
        </w:rPr>
        <w:t xml:space="preserve">Fait à Lubumbashi, le </w:t>
      </w:r>
      <w:r w:rsidR="00403357">
        <w:rPr>
          <w:rFonts w:ascii="Garamond" w:hAnsi="Garamond"/>
          <w:sz w:val="28"/>
          <w:szCs w:val="28"/>
        </w:rPr>
        <w:t>18/042016</w:t>
      </w:r>
    </w:p>
    <w:p w:rsidR="00D45E80" w:rsidRPr="000C7483" w:rsidRDefault="00D45E80" w:rsidP="009A2D35">
      <w:pPr>
        <w:jc w:val="both"/>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ST ITIE</w:t>
      </w:r>
    </w:p>
    <w:p w:rsidR="009A2D35" w:rsidRDefault="009A2D35" w:rsidP="00E55650">
      <w:pPr>
        <w:jc w:val="both"/>
      </w:pPr>
      <w:r w:rsidRPr="000C7483">
        <w:rPr>
          <w:rFonts w:ascii="Garamond" w:hAnsi="Garamond"/>
          <w:sz w:val="28"/>
          <w:szCs w:val="28"/>
        </w:rPr>
        <w:t xml:space="preserve"> </w:t>
      </w:r>
    </w:p>
    <w:p w:rsidR="00180E26" w:rsidRDefault="00180E26"/>
    <w:sectPr w:rsidR="00180E26" w:rsidSect="00BE48A3">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A40" w:rsidRDefault="00B83A40" w:rsidP="00D45E80">
      <w:pPr>
        <w:spacing w:after="0" w:line="240" w:lineRule="auto"/>
      </w:pPr>
      <w:r>
        <w:separator/>
      </w:r>
    </w:p>
  </w:endnote>
  <w:endnote w:type="continuationSeparator" w:id="0">
    <w:p w:rsidR="00B83A40" w:rsidRDefault="00B83A40" w:rsidP="00D45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529570"/>
      <w:docPartObj>
        <w:docPartGallery w:val="Page Numbers (Bottom of Page)"/>
        <w:docPartUnique/>
      </w:docPartObj>
    </w:sdtPr>
    <w:sdtEndPr/>
    <w:sdtContent>
      <w:p w:rsidR="00994C30" w:rsidRDefault="00994C30">
        <w:pPr>
          <w:pStyle w:val="Pieddepage"/>
          <w:jc w:val="right"/>
        </w:pPr>
        <w:r>
          <w:fldChar w:fldCharType="begin"/>
        </w:r>
        <w:r>
          <w:instrText>PAGE   \* MERGEFORMAT</w:instrText>
        </w:r>
        <w:r>
          <w:fldChar w:fldCharType="separate"/>
        </w:r>
        <w:r w:rsidR="00403357">
          <w:rPr>
            <w:noProof/>
          </w:rPr>
          <w:t>5</w:t>
        </w:r>
        <w:r>
          <w:fldChar w:fldCharType="end"/>
        </w:r>
      </w:p>
    </w:sdtContent>
  </w:sdt>
  <w:p w:rsidR="00D45E80" w:rsidRDefault="00D45E8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A40" w:rsidRDefault="00B83A40" w:rsidP="00D45E80">
      <w:pPr>
        <w:spacing w:after="0" w:line="240" w:lineRule="auto"/>
      </w:pPr>
      <w:r>
        <w:separator/>
      </w:r>
    </w:p>
  </w:footnote>
  <w:footnote w:type="continuationSeparator" w:id="0">
    <w:p w:rsidR="00B83A40" w:rsidRDefault="00B83A40" w:rsidP="00D45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8A3" w:rsidRDefault="00BE48A3">
    <w:pPr>
      <w:pStyle w:val="En-tte"/>
    </w:pPr>
    <w:r>
      <w:rPr>
        <w:noProof/>
        <w:lang w:eastAsia="fr-FR"/>
      </w:rPr>
      <w:drawing>
        <wp:inline distT="0" distB="0" distL="0" distR="0" wp14:anchorId="6832C8C0">
          <wp:extent cx="1097280" cy="481330"/>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4813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35C0A"/>
    <w:multiLevelType w:val="hybridMultilevel"/>
    <w:tmpl w:val="98CE9EE0"/>
    <w:lvl w:ilvl="0" w:tplc="F90E2D5C">
      <w:numFmt w:val="bullet"/>
      <w:lvlText w:val="-"/>
      <w:lvlJc w:val="left"/>
      <w:pPr>
        <w:ind w:left="1776" w:hanging="360"/>
      </w:pPr>
      <w:rPr>
        <w:rFonts w:ascii="Garamond" w:eastAsiaTheme="minorHAnsi" w:hAnsi="Garamond"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15:restartNumberingAfterBreak="0">
    <w:nsid w:val="044A3A3B"/>
    <w:multiLevelType w:val="hybridMultilevel"/>
    <w:tmpl w:val="325C4C6C"/>
    <w:lvl w:ilvl="0" w:tplc="C47694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46070D"/>
    <w:multiLevelType w:val="hybridMultilevel"/>
    <w:tmpl w:val="6504E57A"/>
    <w:lvl w:ilvl="0" w:tplc="15B65568">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F51B1"/>
    <w:multiLevelType w:val="hybridMultilevel"/>
    <w:tmpl w:val="C23E63B2"/>
    <w:lvl w:ilvl="0" w:tplc="C47694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337EBA"/>
    <w:multiLevelType w:val="hybridMultilevel"/>
    <w:tmpl w:val="8EC6D9CA"/>
    <w:lvl w:ilvl="0" w:tplc="A9AA696C">
      <w:start w:val="1"/>
      <w:numFmt w:val="bullet"/>
      <w:lvlText w:val=""/>
      <w:lvlJc w:val="left"/>
      <w:pPr>
        <w:ind w:left="720" w:hanging="360"/>
      </w:pPr>
      <w:rPr>
        <w:rFonts w:ascii="Wingdings" w:hAnsi="Wingdings" w:hint="default"/>
        <w:color w:val="002060"/>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84CF2"/>
    <w:multiLevelType w:val="hybridMultilevel"/>
    <w:tmpl w:val="6C6274BA"/>
    <w:lvl w:ilvl="0" w:tplc="15B65568">
      <w:numFmt w:val="bullet"/>
      <w:lvlText w:val="-"/>
      <w:lvlJc w:val="left"/>
      <w:pPr>
        <w:ind w:left="1368" w:hanging="360"/>
      </w:pPr>
      <w:rPr>
        <w:rFonts w:ascii="Garamond" w:eastAsiaTheme="minorHAnsi" w:hAnsi="Garamond" w:cstheme="minorBidi" w:hint="default"/>
      </w:rPr>
    </w:lvl>
    <w:lvl w:ilvl="1" w:tplc="040C0003" w:tentative="1">
      <w:start w:val="1"/>
      <w:numFmt w:val="bullet"/>
      <w:lvlText w:val="o"/>
      <w:lvlJc w:val="left"/>
      <w:pPr>
        <w:ind w:left="2088" w:hanging="360"/>
      </w:pPr>
      <w:rPr>
        <w:rFonts w:ascii="Courier New" w:hAnsi="Courier New" w:cs="Courier New" w:hint="default"/>
      </w:rPr>
    </w:lvl>
    <w:lvl w:ilvl="2" w:tplc="040C0005" w:tentative="1">
      <w:start w:val="1"/>
      <w:numFmt w:val="bullet"/>
      <w:lvlText w:val=""/>
      <w:lvlJc w:val="left"/>
      <w:pPr>
        <w:ind w:left="2808" w:hanging="360"/>
      </w:pPr>
      <w:rPr>
        <w:rFonts w:ascii="Wingdings" w:hAnsi="Wingdings" w:hint="default"/>
      </w:rPr>
    </w:lvl>
    <w:lvl w:ilvl="3" w:tplc="040C0001" w:tentative="1">
      <w:start w:val="1"/>
      <w:numFmt w:val="bullet"/>
      <w:lvlText w:val=""/>
      <w:lvlJc w:val="left"/>
      <w:pPr>
        <w:ind w:left="3528" w:hanging="360"/>
      </w:pPr>
      <w:rPr>
        <w:rFonts w:ascii="Symbol" w:hAnsi="Symbol" w:hint="default"/>
      </w:rPr>
    </w:lvl>
    <w:lvl w:ilvl="4" w:tplc="040C0003" w:tentative="1">
      <w:start w:val="1"/>
      <w:numFmt w:val="bullet"/>
      <w:lvlText w:val="o"/>
      <w:lvlJc w:val="left"/>
      <w:pPr>
        <w:ind w:left="4248" w:hanging="360"/>
      </w:pPr>
      <w:rPr>
        <w:rFonts w:ascii="Courier New" w:hAnsi="Courier New" w:cs="Courier New" w:hint="default"/>
      </w:rPr>
    </w:lvl>
    <w:lvl w:ilvl="5" w:tplc="040C0005" w:tentative="1">
      <w:start w:val="1"/>
      <w:numFmt w:val="bullet"/>
      <w:lvlText w:val=""/>
      <w:lvlJc w:val="left"/>
      <w:pPr>
        <w:ind w:left="4968" w:hanging="360"/>
      </w:pPr>
      <w:rPr>
        <w:rFonts w:ascii="Wingdings" w:hAnsi="Wingdings" w:hint="default"/>
      </w:rPr>
    </w:lvl>
    <w:lvl w:ilvl="6" w:tplc="040C0001" w:tentative="1">
      <w:start w:val="1"/>
      <w:numFmt w:val="bullet"/>
      <w:lvlText w:val=""/>
      <w:lvlJc w:val="left"/>
      <w:pPr>
        <w:ind w:left="5688" w:hanging="360"/>
      </w:pPr>
      <w:rPr>
        <w:rFonts w:ascii="Symbol" w:hAnsi="Symbol" w:hint="default"/>
      </w:rPr>
    </w:lvl>
    <w:lvl w:ilvl="7" w:tplc="040C0003" w:tentative="1">
      <w:start w:val="1"/>
      <w:numFmt w:val="bullet"/>
      <w:lvlText w:val="o"/>
      <w:lvlJc w:val="left"/>
      <w:pPr>
        <w:ind w:left="6408" w:hanging="360"/>
      </w:pPr>
      <w:rPr>
        <w:rFonts w:ascii="Courier New" w:hAnsi="Courier New" w:cs="Courier New" w:hint="default"/>
      </w:rPr>
    </w:lvl>
    <w:lvl w:ilvl="8" w:tplc="040C0005" w:tentative="1">
      <w:start w:val="1"/>
      <w:numFmt w:val="bullet"/>
      <w:lvlText w:val=""/>
      <w:lvlJc w:val="left"/>
      <w:pPr>
        <w:ind w:left="7128" w:hanging="360"/>
      </w:pPr>
      <w:rPr>
        <w:rFonts w:ascii="Wingdings" w:hAnsi="Wingdings" w:hint="default"/>
      </w:rPr>
    </w:lvl>
  </w:abstractNum>
  <w:abstractNum w:abstractNumId="6" w15:restartNumberingAfterBreak="0">
    <w:nsid w:val="16876231"/>
    <w:multiLevelType w:val="hybridMultilevel"/>
    <w:tmpl w:val="97307628"/>
    <w:lvl w:ilvl="0" w:tplc="C4769402">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9940F1"/>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64E42AD"/>
    <w:multiLevelType w:val="hybridMultilevel"/>
    <w:tmpl w:val="49408E2E"/>
    <w:lvl w:ilvl="0" w:tplc="15B65568">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6D739A"/>
    <w:multiLevelType w:val="hybridMultilevel"/>
    <w:tmpl w:val="38AEBF52"/>
    <w:lvl w:ilvl="0" w:tplc="44F28318">
      <w:start w:val="1"/>
      <w:numFmt w:val="decimal"/>
      <w:lvlText w:val="%1."/>
      <w:lvlJc w:val="left"/>
      <w:pPr>
        <w:ind w:left="360" w:hanging="360"/>
      </w:pPr>
      <w:rPr>
        <w:b/>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0" w15:restartNumberingAfterBreak="0">
    <w:nsid w:val="2E662BAB"/>
    <w:multiLevelType w:val="hybridMultilevel"/>
    <w:tmpl w:val="0B761052"/>
    <w:lvl w:ilvl="0" w:tplc="C47694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B17AC0"/>
    <w:multiLevelType w:val="hybridMultilevel"/>
    <w:tmpl w:val="E2E052DC"/>
    <w:lvl w:ilvl="0" w:tplc="15B65568">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15B65568">
      <w:numFmt w:val="bullet"/>
      <w:lvlText w:val="-"/>
      <w:lvlJc w:val="left"/>
      <w:pPr>
        <w:ind w:left="2160" w:hanging="360"/>
      </w:pPr>
      <w:rPr>
        <w:rFonts w:ascii="Garamond" w:eastAsiaTheme="minorHAnsi" w:hAnsi="Garamond"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E5184C"/>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B514B99"/>
    <w:multiLevelType w:val="hybridMultilevel"/>
    <w:tmpl w:val="C2D4BC4E"/>
    <w:lvl w:ilvl="0" w:tplc="C47694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95715B"/>
    <w:multiLevelType w:val="hybridMultilevel"/>
    <w:tmpl w:val="E656EF64"/>
    <w:lvl w:ilvl="0" w:tplc="040C000F">
      <w:start w:val="1"/>
      <w:numFmt w:val="decimal"/>
      <w:lvlText w:val="%1."/>
      <w:lvlJc w:val="left"/>
      <w:pPr>
        <w:ind w:left="720" w:hanging="360"/>
      </w:pPr>
      <w:rPr>
        <w:rFonts w:hint="default"/>
      </w:rPr>
    </w:lvl>
    <w:lvl w:ilvl="1" w:tplc="B57CE40E">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9F6F10"/>
    <w:multiLevelType w:val="hybridMultilevel"/>
    <w:tmpl w:val="EC5AEDC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BE21B4"/>
    <w:multiLevelType w:val="hybridMultilevel"/>
    <w:tmpl w:val="7D72043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3F561F0"/>
    <w:multiLevelType w:val="hybridMultilevel"/>
    <w:tmpl w:val="E09EA2BC"/>
    <w:lvl w:ilvl="0" w:tplc="15B65568">
      <w:numFmt w:val="bullet"/>
      <w:lvlText w:val="-"/>
      <w:lvlJc w:val="left"/>
      <w:pPr>
        <w:ind w:left="1212" w:hanging="360"/>
      </w:pPr>
      <w:rPr>
        <w:rFonts w:ascii="Garamond" w:eastAsiaTheme="minorHAnsi" w:hAnsi="Garamond" w:cstheme="minorBidi" w:hint="default"/>
      </w:rPr>
    </w:lvl>
    <w:lvl w:ilvl="1" w:tplc="040C0003" w:tentative="1">
      <w:start w:val="1"/>
      <w:numFmt w:val="bullet"/>
      <w:lvlText w:val="o"/>
      <w:lvlJc w:val="left"/>
      <w:pPr>
        <w:ind w:left="1932" w:hanging="360"/>
      </w:pPr>
      <w:rPr>
        <w:rFonts w:ascii="Courier New" w:hAnsi="Courier New" w:cs="Courier New" w:hint="default"/>
      </w:rPr>
    </w:lvl>
    <w:lvl w:ilvl="2" w:tplc="040C0005" w:tentative="1">
      <w:start w:val="1"/>
      <w:numFmt w:val="bullet"/>
      <w:lvlText w:val=""/>
      <w:lvlJc w:val="left"/>
      <w:pPr>
        <w:ind w:left="2652" w:hanging="360"/>
      </w:pPr>
      <w:rPr>
        <w:rFonts w:ascii="Wingdings" w:hAnsi="Wingdings" w:hint="default"/>
      </w:rPr>
    </w:lvl>
    <w:lvl w:ilvl="3" w:tplc="040C0001" w:tentative="1">
      <w:start w:val="1"/>
      <w:numFmt w:val="bullet"/>
      <w:lvlText w:val=""/>
      <w:lvlJc w:val="left"/>
      <w:pPr>
        <w:ind w:left="3372" w:hanging="360"/>
      </w:pPr>
      <w:rPr>
        <w:rFonts w:ascii="Symbol" w:hAnsi="Symbol" w:hint="default"/>
      </w:rPr>
    </w:lvl>
    <w:lvl w:ilvl="4" w:tplc="040C0003" w:tentative="1">
      <w:start w:val="1"/>
      <w:numFmt w:val="bullet"/>
      <w:lvlText w:val="o"/>
      <w:lvlJc w:val="left"/>
      <w:pPr>
        <w:ind w:left="4092" w:hanging="360"/>
      </w:pPr>
      <w:rPr>
        <w:rFonts w:ascii="Courier New" w:hAnsi="Courier New" w:cs="Courier New" w:hint="default"/>
      </w:rPr>
    </w:lvl>
    <w:lvl w:ilvl="5" w:tplc="040C0005" w:tentative="1">
      <w:start w:val="1"/>
      <w:numFmt w:val="bullet"/>
      <w:lvlText w:val=""/>
      <w:lvlJc w:val="left"/>
      <w:pPr>
        <w:ind w:left="4812" w:hanging="360"/>
      </w:pPr>
      <w:rPr>
        <w:rFonts w:ascii="Wingdings" w:hAnsi="Wingdings" w:hint="default"/>
      </w:rPr>
    </w:lvl>
    <w:lvl w:ilvl="6" w:tplc="040C0001" w:tentative="1">
      <w:start w:val="1"/>
      <w:numFmt w:val="bullet"/>
      <w:lvlText w:val=""/>
      <w:lvlJc w:val="left"/>
      <w:pPr>
        <w:ind w:left="5532" w:hanging="360"/>
      </w:pPr>
      <w:rPr>
        <w:rFonts w:ascii="Symbol" w:hAnsi="Symbol" w:hint="default"/>
      </w:rPr>
    </w:lvl>
    <w:lvl w:ilvl="7" w:tplc="040C0003" w:tentative="1">
      <w:start w:val="1"/>
      <w:numFmt w:val="bullet"/>
      <w:lvlText w:val="o"/>
      <w:lvlJc w:val="left"/>
      <w:pPr>
        <w:ind w:left="6252" w:hanging="360"/>
      </w:pPr>
      <w:rPr>
        <w:rFonts w:ascii="Courier New" w:hAnsi="Courier New" w:cs="Courier New" w:hint="default"/>
      </w:rPr>
    </w:lvl>
    <w:lvl w:ilvl="8" w:tplc="040C0005" w:tentative="1">
      <w:start w:val="1"/>
      <w:numFmt w:val="bullet"/>
      <w:lvlText w:val=""/>
      <w:lvlJc w:val="left"/>
      <w:pPr>
        <w:ind w:left="6972" w:hanging="360"/>
      </w:pPr>
      <w:rPr>
        <w:rFonts w:ascii="Wingdings" w:hAnsi="Wingdings" w:hint="default"/>
      </w:rPr>
    </w:lvl>
  </w:abstractNum>
  <w:abstractNum w:abstractNumId="18" w15:restartNumberingAfterBreak="0">
    <w:nsid w:val="49296CBA"/>
    <w:multiLevelType w:val="hybridMultilevel"/>
    <w:tmpl w:val="BE4CF640"/>
    <w:lvl w:ilvl="0" w:tplc="C4769402">
      <w:start w:val="1"/>
      <w:numFmt w:val="bullet"/>
      <w:lvlText w:val=""/>
      <w:lvlJc w:val="left"/>
      <w:pPr>
        <w:ind w:left="709" w:hanging="360"/>
      </w:pPr>
      <w:rPr>
        <w:rFonts w:ascii="Symbol" w:hAnsi="Symbol"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19" w15:restartNumberingAfterBreak="0">
    <w:nsid w:val="546A38F6"/>
    <w:multiLevelType w:val="hybridMultilevel"/>
    <w:tmpl w:val="1A881EBA"/>
    <w:lvl w:ilvl="0" w:tplc="3F7AB8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8D75381"/>
    <w:multiLevelType w:val="hybridMultilevel"/>
    <w:tmpl w:val="62AE0EC4"/>
    <w:lvl w:ilvl="0" w:tplc="15B65568">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B46FE0"/>
    <w:multiLevelType w:val="hybridMultilevel"/>
    <w:tmpl w:val="F80A241C"/>
    <w:lvl w:ilvl="0" w:tplc="2372116E">
      <w:numFmt w:val="bullet"/>
      <w:lvlText w:val="-"/>
      <w:lvlJc w:val="left"/>
      <w:pPr>
        <w:ind w:left="1356" w:hanging="360"/>
      </w:pPr>
      <w:rPr>
        <w:rFonts w:ascii="Garamond" w:eastAsiaTheme="minorHAnsi" w:hAnsi="Garamond" w:cstheme="minorBidi" w:hint="default"/>
      </w:rPr>
    </w:lvl>
    <w:lvl w:ilvl="1" w:tplc="040C0003" w:tentative="1">
      <w:start w:val="1"/>
      <w:numFmt w:val="bullet"/>
      <w:lvlText w:val="o"/>
      <w:lvlJc w:val="left"/>
      <w:pPr>
        <w:ind w:left="2076" w:hanging="360"/>
      </w:pPr>
      <w:rPr>
        <w:rFonts w:ascii="Courier New" w:hAnsi="Courier New" w:cs="Courier New" w:hint="default"/>
      </w:rPr>
    </w:lvl>
    <w:lvl w:ilvl="2" w:tplc="040C0005" w:tentative="1">
      <w:start w:val="1"/>
      <w:numFmt w:val="bullet"/>
      <w:lvlText w:val=""/>
      <w:lvlJc w:val="left"/>
      <w:pPr>
        <w:ind w:left="2796" w:hanging="360"/>
      </w:pPr>
      <w:rPr>
        <w:rFonts w:ascii="Wingdings" w:hAnsi="Wingdings" w:hint="default"/>
      </w:rPr>
    </w:lvl>
    <w:lvl w:ilvl="3" w:tplc="040C0001" w:tentative="1">
      <w:start w:val="1"/>
      <w:numFmt w:val="bullet"/>
      <w:lvlText w:val=""/>
      <w:lvlJc w:val="left"/>
      <w:pPr>
        <w:ind w:left="3516" w:hanging="360"/>
      </w:pPr>
      <w:rPr>
        <w:rFonts w:ascii="Symbol" w:hAnsi="Symbol" w:hint="default"/>
      </w:rPr>
    </w:lvl>
    <w:lvl w:ilvl="4" w:tplc="040C0003" w:tentative="1">
      <w:start w:val="1"/>
      <w:numFmt w:val="bullet"/>
      <w:lvlText w:val="o"/>
      <w:lvlJc w:val="left"/>
      <w:pPr>
        <w:ind w:left="4236" w:hanging="360"/>
      </w:pPr>
      <w:rPr>
        <w:rFonts w:ascii="Courier New" w:hAnsi="Courier New" w:cs="Courier New" w:hint="default"/>
      </w:rPr>
    </w:lvl>
    <w:lvl w:ilvl="5" w:tplc="040C0005" w:tentative="1">
      <w:start w:val="1"/>
      <w:numFmt w:val="bullet"/>
      <w:lvlText w:val=""/>
      <w:lvlJc w:val="left"/>
      <w:pPr>
        <w:ind w:left="4956" w:hanging="360"/>
      </w:pPr>
      <w:rPr>
        <w:rFonts w:ascii="Wingdings" w:hAnsi="Wingdings" w:hint="default"/>
      </w:rPr>
    </w:lvl>
    <w:lvl w:ilvl="6" w:tplc="040C0001" w:tentative="1">
      <w:start w:val="1"/>
      <w:numFmt w:val="bullet"/>
      <w:lvlText w:val=""/>
      <w:lvlJc w:val="left"/>
      <w:pPr>
        <w:ind w:left="5676" w:hanging="360"/>
      </w:pPr>
      <w:rPr>
        <w:rFonts w:ascii="Symbol" w:hAnsi="Symbol" w:hint="default"/>
      </w:rPr>
    </w:lvl>
    <w:lvl w:ilvl="7" w:tplc="040C0003" w:tentative="1">
      <w:start w:val="1"/>
      <w:numFmt w:val="bullet"/>
      <w:lvlText w:val="o"/>
      <w:lvlJc w:val="left"/>
      <w:pPr>
        <w:ind w:left="6396" w:hanging="360"/>
      </w:pPr>
      <w:rPr>
        <w:rFonts w:ascii="Courier New" w:hAnsi="Courier New" w:cs="Courier New" w:hint="default"/>
      </w:rPr>
    </w:lvl>
    <w:lvl w:ilvl="8" w:tplc="040C0005" w:tentative="1">
      <w:start w:val="1"/>
      <w:numFmt w:val="bullet"/>
      <w:lvlText w:val=""/>
      <w:lvlJc w:val="left"/>
      <w:pPr>
        <w:ind w:left="7116" w:hanging="360"/>
      </w:pPr>
      <w:rPr>
        <w:rFonts w:ascii="Wingdings" w:hAnsi="Wingdings" w:hint="default"/>
      </w:rPr>
    </w:lvl>
  </w:abstractNum>
  <w:abstractNum w:abstractNumId="22" w15:restartNumberingAfterBreak="0">
    <w:nsid w:val="722C541E"/>
    <w:multiLevelType w:val="hybridMultilevel"/>
    <w:tmpl w:val="B59A6B8E"/>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72A914BB"/>
    <w:multiLevelType w:val="hybridMultilevel"/>
    <w:tmpl w:val="17462236"/>
    <w:lvl w:ilvl="0" w:tplc="040C000F">
      <w:start w:val="1"/>
      <w:numFmt w:val="decimal"/>
      <w:lvlText w:val="%1."/>
      <w:lvlJc w:val="left"/>
      <w:pPr>
        <w:ind w:left="720" w:hanging="360"/>
      </w:pPr>
      <w:rPr>
        <w:rFonts w:hint="default"/>
      </w:rPr>
    </w:lvl>
    <w:lvl w:ilvl="1" w:tplc="B57CE40E">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3EC00C3"/>
    <w:multiLevelType w:val="hybridMultilevel"/>
    <w:tmpl w:val="AD481196"/>
    <w:lvl w:ilvl="0" w:tplc="6FC67100">
      <w:start w:val="5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51D1CC4"/>
    <w:multiLevelType w:val="hybridMultilevel"/>
    <w:tmpl w:val="6D0258C0"/>
    <w:lvl w:ilvl="0" w:tplc="15B65568">
      <w:numFmt w:val="bullet"/>
      <w:lvlText w:val="-"/>
      <w:lvlJc w:val="left"/>
      <w:pPr>
        <w:ind w:left="578" w:hanging="360"/>
      </w:pPr>
      <w:rPr>
        <w:rFonts w:ascii="Garamond" w:eastAsiaTheme="minorHAnsi" w:hAnsi="Garamond" w:cstheme="minorBid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6" w15:restartNumberingAfterBreak="0">
    <w:nsid w:val="79DD709B"/>
    <w:multiLevelType w:val="hybridMultilevel"/>
    <w:tmpl w:val="531003FA"/>
    <w:lvl w:ilvl="0" w:tplc="D32E3926">
      <w:start w:val="1"/>
      <w:numFmt w:val="decimal"/>
      <w:lvlText w:val="%1."/>
      <w:lvlJc w:val="left"/>
      <w:pPr>
        <w:ind w:left="709" w:hanging="360"/>
      </w:pPr>
      <w:rPr>
        <w:rFonts w:ascii="Garamond" w:hAnsi="Garamond" w:hint="default"/>
        <w:b/>
        <w:color w:val="auto"/>
        <w:sz w:val="28"/>
        <w:szCs w:val="28"/>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27" w15:restartNumberingAfterBreak="0">
    <w:nsid w:val="7C2B4C0F"/>
    <w:multiLevelType w:val="hybridMultilevel"/>
    <w:tmpl w:val="5DF4DACE"/>
    <w:lvl w:ilvl="0" w:tplc="15B65568">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9"/>
  </w:num>
  <w:num w:numId="4">
    <w:abstractNumId w:val="16"/>
  </w:num>
  <w:num w:numId="5">
    <w:abstractNumId w:val="4"/>
  </w:num>
  <w:num w:numId="6">
    <w:abstractNumId w:val="22"/>
  </w:num>
  <w:num w:numId="7">
    <w:abstractNumId w:val="18"/>
  </w:num>
  <w:num w:numId="8">
    <w:abstractNumId w:val="26"/>
  </w:num>
  <w:num w:numId="9">
    <w:abstractNumId w:val="24"/>
  </w:num>
  <w:num w:numId="10">
    <w:abstractNumId w:val="13"/>
  </w:num>
  <w:num w:numId="11">
    <w:abstractNumId w:val="19"/>
  </w:num>
  <w:num w:numId="12">
    <w:abstractNumId w:val="1"/>
  </w:num>
  <w:num w:numId="13">
    <w:abstractNumId w:val="21"/>
  </w:num>
  <w:num w:numId="14">
    <w:abstractNumId w:val="17"/>
  </w:num>
  <w:num w:numId="15">
    <w:abstractNumId w:val="8"/>
  </w:num>
  <w:num w:numId="16">
    <w:abstractNumId w:val="11"/>
  </w:num>
  <w:num w:numId="17">
    <w:abstractNumId w:val="20"/>
  </w:num>
  <w:num w:numId="18">
    <w:abstractNumId w:val="0"/>
  </w:num>
  <w:num w:numId="19">
    <w:abstractNumId w:val="25"/>
  </w:num>
  <w:num w:numId="20">
    <w:abstractNumId w:val="5"/>
  </w:num>
  <w:num w:numId="21">
    <w:abstractNumId w:val="27"/>
  </w:num>
  <w:num w:numId="22">
    <w:abstractNumId w:val="23"/>
  </w:num>
  <w:num w:numId="23">
    <w:abstractNumId w:val="2"/>
  </w:num>
  <w:num w:numId="24">
    <w:abstractNumId w:val="3"/>
  </w:num>
  <w:num w:numId="25">
    <w:abstractNumId w:val="10"/>
  </w:num>
  <w:num w:numId="26">
    <w:abstractNumId w:val="7"/>
  </w:num>
  <w:num w:numId="27">
    <w:abstractNumId w:val="1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35"/>
    <w:rsid w:val="00006FF2"/>
    <w:rsid w:val="000122F1"/>
    <w:rsid w:val="000374B7"/>
    <w:rsid w:val="00037C72"/>
    <w:rsid w:val="00040563"/>
    <w:rsid w:val="000469F3"/>
    <w:rsid w:val="00047308"/>
    <w:rsid w:val="000521F6"/>
    <w:rsid w:val="00053D8B"/>
    <w:rsid w:val="00054EF3"/>
    <w:rsid w:val="00061D9E"/>
    <w:rsid w:val="000626B4"/>
    <w:rsid w:val="00066A1F"/>
    <w:rsid w:val="00070D76"/>
    <w:rsid w:val="000825B5"/>
    <w:rsid w:val="00092A73"/>
    <w:rsid w:val="0009360D"/>
    <w:rsid w:val="00093BF4"/>
    <w:rsid w:val="000950C8"/>
    <w:rsid w:val="00097903"/>
    <w:rsid w:val="00097D7F"/>
    <w:rsid w:val="000A11E0"/>
    <w:rsid w:val="000A1953"/>
    <w:rsid w:val="000A7E18"/>
    <w:rsid w:val="000B04A6"/>
    <w:rsid w:val="000B40D1"/>
    <w:rsid w:val="000B4628"/>
    <w:rsid w:val="000B5A47"/>
    <w:rsid w:val="000C3A88"/>
    <w:rsid w:val="000D16BC"/>
    <w:rsid w:val="000D3D64"/>
    <w:rsid w:val="000E285F"/>
    <w:rsid w:val="000E4494"/>
    <w:rsid w:val="000F0C64"/>
    <w:rsid w:val="000F1F67"/>
    <w:rsid w:val="00102514"/>
    <w:rsid w:val="0010356E"/>
    <w:rsid w:val="001127D6"/>
    <w:rsid w:val="00123477"/>
    <w:rsid w:val="00123F5F"/>
    <w:rsid w:val="00125BA6"/>
    <w:rsid w:val="001341AF"/>
    <w:rsid w:val="0014004D"/>
    <w:rsid w:val="00142F4B"/>
    <w:rsid w:val="00144C17"/>
    <w:rsid w:val="001462C6"/>
    <w:rsid w:val="00155ECC"/>
    <w:rsid w:val="00157DF8"/>
    <w:rsid w:val="00170265"/>
    <w:rsid w:val="001704CD"/>
    <w:rsid w:val="001708FF"/>
    <w:rsid w:val="00174FDD"/>
    <w:rsid w:val="00175E14"/>
    <w:rsid w:val="00180E26"/>
    <w:rsid w:val="0018186D"/>
    <w:rsid w:val="00183B40"/>
    <w:rsid w:val="00186B84"/>
    <w:rsid w:val="00194EA8"/>
    <w:rsid w:val="001A13D7"/>
    <w:rsid w:val="001A336F"/>
    <w:rsid w:val="001A4611"/>
    <w:rsid w:val="001B006A"/>
    <w:rsid w:val="001B13CF"/>
    <w:rsid w:val="001B2021"/>
    <w:rsid w:val="001B7BC3"/>
    <w:rsid w:val="001D0459"/>
    <w:rsid w:val="001D2BD0"/>
    <w:rsid w:val="001D5B23"/>
    <w:rsid w:val="001D760D"/>
    <w:rsid w:val="001E22A1"/>
    <w:rsid w:val="001E4866"/>
    <w:rsid w:val="001E4D7D"/>
    <w:rsid w:val="001E7A36"/>
    <w:rsid w:val="001F2B24"/>
    <w:rsid w:val="001F60E9"/>
    <w:rsid w:val="001F6342"/>
    <w:rsid w:val="001F7ADE"/>
    <w:rsid w:val="002017E0"/>
    <w:rsid w:val="0020359E"/>
    <w:rsid w:val="00203740"/>
    <w:rsid w:val="00205EE9"/>
    <w:rsid w:val="002132E8"/>
    <w:rsid w:val="0022110D"/>
    <w:rsid w:val="00223B0F"/>
    <w:rsid w:val="00226802"/>
    <w:rsid w:val="00233682"/>
    <w:rsid w:val="0023777E"/>
    <w:rsid w:val="002407E1"/>
    <w:rsid w:val="00240E1C"/>
    <w:rsid w:val="002421F6"/>
    <w:rsid w:val="002442E3"/>
    <w:rsid w:val="0024592B"/>
    <w:rsid w:val="00252AFC"/>
    <w:rsid w:val="00262300"/>
    <w:rsid w:val="002654E8"/>
    <w:rsid w:val="0026762C"/>
    <w:rsid w:val="002707FB"/>
    <w:rsid w:val="002729D8"/>
    <w:rsid w:val="00274F6D"/>
    <w:rsid w:val="00280847"/>
    <w:rsid w:val="00285278"/>
    <w:rsid w:val="00285471"/>
    <w:rsid w:val="0028761F"/>
    <w:rsid w:val="00294439"/>
    <w:rsid w:val="00296897"/>
    <w:rsid w:val="002A2386"/>
    <w:rsid w:val="002A2F0B"/>
    <w:rsid w:val="002B1C0A"/>
    <w:rsid w:val="002C1FA3"/>
    <w:rsid w:val="002D150C"/>
    <w:rsid w:val="002E43E9"/>
    <w:rsid w:val="002E75CE"/>
    <w:rsid w:val="002F0C0C"/>
    <w:rsid w:val="002F1182"/>
    <w:rsid w:val="002F4533"/>
    <w:rsid w:val="0030399E"/>
    <w:rsid w:val="00304744"/>
    <w:rsid w:val="00321A8F"/>
    <w:rsid w:val="0033627B"/>
    <w:rsid w:val="003412C2"/>
    <w:rsid w:val="00344410"/>
    <w:rsid w:val="0035462D"/>
    <w:rsid w:val="003618A9"/>
    <w:rsid w:val="00364504"/>
    <w:rsid w:val="003705FB"/>
    <w:rsid w:val="00371DDD"/>
    <w:rsid w:val="00376FBB"/>
    <w:rsid w:val="0038107A"/>
    <w:rsid w:val="00390EA4"/>
    <w:rsid w:val="00393325"/>
    <w:rsid w:val="00397F05"/>
    <w:rsid w:val="003A1A01"/>
    <w:rsid w:val="003A2FE6"/>
    <w:rsid w:val="003A42FB"/>
    <w:rsid w:val="003B0FDA"/>
    <w:rsid w:val="003C4343"/>
    <w:rsid w:val="003C75F6"/>
    <w:rsid w:val="003D11FA"/>
    <w:rsid w:val="003D6335"/>
    <w:rsid w:val="003E2F53"/>
    <w:rsid w:val="003F1C57"/>
    <w:rsid w:val="003F7E1A"/>
    <w:rsid w:val="00403132"/>
    <w:rsid w:val="00403357"/>
    <w:rsid w:val="004047D7"/>
    <w:rsid w:val="00420C7A"/>
    <w:rsid w:val="004272F7"/>
    <w:rsid w:val="0043016D"/>
    <w:rsid w:val="00431500"/>
    <w:rsid w:val="00432EDB"/>
    <w:rsid w:val="0043316F"/>
    <w:rsid w:val="00433371"/>
    <w:rsid w:val="00433473"/>
    <w:rsid w:val="004374CB"/>
    <w:rsid w:val="004378D8"/>
    <w:rsid w:val="00442859"/>
    <w:rsid w:val="00453BCD"/>
    <w:rsid w:val="0045773E"/>
    <w:rsid w:val="00460884"/>
    <w:rsid w:val="00465274"/>
    <w:rsid w:val="0046598F"/>
    <w:rsid w:val="004776DF"/>
    <w:rsid w:val="00481A19"/>
    <w:rsid w:val="004848C3"/>
    <w:rsid w:val="004859BD"/>
    <w:rsid w:val="00491314"/>
    <w:rsid w:val="004923DE"/>
    <w:rsid w:val="00494024"/>
    <w:rsid w:val="00495041"/>
    <w:rsid w:val="00495A70"/>
    <w:rsid w:val="004A1F6E"/>
    <w:rsid w:val="004B41CA"/>
    <w:rsid w:val="004B5781"/>
    <w:rsid w:val="004D1C5E"/>
    <w:rsid w:val="004D1FF4"/>
    <w:rsid w:val="004D5D76"/>
    <w:rsid w:val="004E0243"/>
    <w:rsid w:val="004E3854"/>
    <w:rsid w:val="004E38C0"/>
    <w:rsid w:val="004E4E77"/>
    <w:rsid w:val="004E5EA5"/>
    <w:rsid w:val="004E6AC4"/>
    <w:rsid w:val="004F09CA"/>
    <w:rsid w:val="004F406D"/>
    <w:rsid w:val="005006E8"/>
    <w:rsid w:val="0050421C"/>
    <w:rsid w:val="0050506D"/>
    <w:rsid w:val="00507CBE"/>
    <w:rsid w:val="005111F7"/>
    <w:rsid w:val="00514232"/>
    <w:rsid w:val="00514858"/>
    <w:rsid w:val="00516926"/>
    <w:rsid w:val="00524D1B"/>
    <w:rsid w:val="0053111A"/>
    <w:rsid w:val="00531AE4"/>
    <w:rsid w:val="00540AE8"/>
    <w:rsid w:val="00541995"/>
    <w:rsid w:val="00545B11"/>
    <w:rsid w:val="005549A5"/>
    <w:rsid w:val="00555585"/>
    <w:rsid w:val="005617A5"/>
    <w:rsid w:val="0057358C"/>
    <w:rsid w:val="0057587C"/>
    <w:rsid w:val="00586FA9"/>
    <w:rsid w:val="00591458"/>
    <w:rsid w:val="00592FE9"/>
    <w:rsid w:val="005A486F"/>
    <w:rsid w:val="005B4E82"/>
    <w:rsid w:val="005B7F5A"/>
    <w:rsid w:val="005C036B"/>
    <w:rsid w:val="005C6C4D"/>
    <w:rsid w:val="005C7601"/>
    <w:rsid w:val="005E1793"/>
    <w:rsid w:val="005E2C20"/>
    <w:rsid w:val="005E3951"/>
    <w:rsid w:val="005E3B8D"/>
    <w:rsid w:val="005E4329"/>
    <w:rsid w:val="005E4618"/>
    <w:rsid w:val="005E6271"/>
    <w:rsid w:val="005E6785"/>
    <w:rsid w:val="005F7C0D"/>
    <w:rsid w:val="00601054"/>
    <w:rsid w:val="006022A4"/>
    <w:rsid w:val="00604134"/>
    <w:rsid w:val="0060739E"/>
    <w:rsid w:val="006123C8"/>
    <w:rsid w:val="00612798"/>
    <w:rsid w:val="00612A0F"/>
    <w:rsid w:val="00613E19"/>
    <w:rsid w:val="00614E01"/>
    <w:rsid w:val="00624320"/>
    <w:rsid w:val="00630F20"/>
    <w:rsid w:val="00640FF3"/>
    <w:rsid w:val="00655518"/>
    <w:rsid w:val="00657E37"/>
    <w:rsid w:val="00661C14"/>
    <w:rsid w:val="006639C6"/>
    <w:rsid w:val="00667CC7"/>
    <w:rsid w:val="00671735"/>
    <w:rsid w:val="00672336"/>
    <w:rsid w:val="00676AFB"/>
    <w:rsid w:val="00676B8D"/>
    <w:rsid w:val="00681320"/>
    <w:rsid w:val="00685759"/>
    <w:rsid w:val="00690455"/>
    <w:rsid w:val="00691E70"/>
    <w:rsid w:val="006A37FD"/>
    <w:rsid w:val="006B22D9"/>
    <w:rsid w:val="006B7B46"/>
    <w:rsid w:val="006C2D2B"/>
    <w:rsid w:val="006C48A9"/>
    <w:rsid w:val="006D2179"/>
    <w:rsid w:val="006D4103"/>
    <w:rsid w:val="006E1FF0"/>
    <w:rsid w:val="006F07F1"/>
    <w:rsid w:val="006F1B8E"/>
    <w:rsid w:val="006F51AB"/>
    <w:rsid w:val="0070129C"/>
    <w:rsid w:val="0070298A"/>
    <w:rsid w:val="00705FE6"/>
    <w:rsid w:val="00706593"/>
    <w:rsid w:val="0070676A"/>
    <w:rsid w:val="00711AD4"/>
    <w:rsid w:val="007154E9"/>
    <w:rsid w:val="0072171D"/>
    <w:rsid w:val="0072305F"/>
    <w:rsid w:val="007242F9"/>
    <w:rsid w:val="007243CC"/>
    <w:rsid w:val="0072538D"/>
    <w:rsid w:val="0073129B"/>
    <w:rsid w:val="0074349F"/>
    <w:rsid w:val="007470E9"/>
    <w:rsid w:val="007520E1"/>
    <w:rsid w:val="007575F3"/>
    <w:rsid w:val="007607DF"/>
    <w:rsid w:val="00772D34"/>
    <w:rsid w:val="0077442D"/>
    <w:rsid w:val="00777BB6"/>
    <w:rsid w:val="007803DA"/>
    <w:rsid w:val="00781BE0"/>
    <w:rsid w:val="00786C89"/>
    <w:rsid w:val="007970B8"/>
    <w:rsid w:val="007973DD"/>
    <w:rsid w:val="00797FC6"/>
    <w:rsid w:val="007A19C1"/>
    <w:rsid w:val="007A549F"/>
    <w:rsid w:val="007A76D8"/>
    <w:rsid w:val="007B6E0D"/>
    <w:rsid w:val="007C05B2"/>
    <w:rsid w:val="007C0DB8"/>
    <w:rsid w:val="007D5B81"/>
    <w:rsid w:val="007E0BCF"/>
    <w:rsid w:val="007E5A85"/>
    <w:rsid w:val="007E6550"/>
    <w:rsid w:val="007F4EE8"/>
    <w:rsid w:val="007F6022"/>
    <w:rsid w:val="00804458"/>
    <w:rsid w:val="008049EC"/>
    <w:rsid w:val="00805431"/>
    <w:rsid w:val="00825BA3"/>
    <w:rsid w:val="00833745"/>
    <w:rsid w:val="00836381"/>
    <w:rsid w:val="00836BC7"/>
    <w:rsid w:val="00841F44"/>
    <w:rsid w:val="0085119B"/>
    <w:rsid w:val="00851EA1"/>
    <w:rsid w:val="008551B4"/>
    <w:rsid w:val="008555FF"/>
    <w:rsid w:val="00862E34"/>
    <w:rsid w:val="00870E3F"/>
    <w:rsid w:val="00874509"/>
    <w:rsid w:val="00877646"/>
    <w:rsid w:val="008836D5"/>
    <w:rsid w:val="008915A9"/>
    <w:rsid w:val="0089441E"/>
    <w:rsid w:val="008A37AC"/>
    <w:rsid w:val="008B78B8"/>
    <w:rsid w:val="008C51AA"/>
    <w:rsid w:val="008D6F6B"/>
    <w:rsid w:val="008E1CE8"/>
    <w:rsid w:val="008E22E4"/>
    <w:rsid w:val="008E5CC1"/>
    <w:rsid w:val="008E6519"/>
    <w:rsid w:val="008F0D32"/>
    <w:rsid w:val="009002AC"/>
    <w:rsid w:val="00901021"/>
    <w:rsid w:val="00904401"/>
    <w:rsid w:val="00922DF2"/>
    <w:rsid w:val="009241B2"/>
    <w:rsid w:val="0093214A"/>
    <w:rsid w:val="00937127"/>
    <w:rsid w:val="0094692E"/>
    <w:rsid w:val="00950BF3"/>
    <w:rsid w:val="00952948"/>
    <w:rsid w:val="009577EF"/>
    <w:rsid w:val="00960D00"/>
    <w:rsid w:val="00961A68"/>
    <w:rsid w:val="00965F2B"/>
    <w:rsid w:val="00971F43"/>
    <w:rsid w:val="00985406"/>
    <w:rsid w:val="00994C30"/>
    <w:rsid w:val="009A2D35"/>
    <w:rsid w:val="009B3733"/>
    <w:rsid w:val="009C09C7"/>
    <w:rsid w:val="009D3B9B"/>
    <w:rsid w:val="009D7A43"/>
    <w:rsid w:val="009E2C6F"/>
    <w:rsid w:val="009E6079"/>
    <w:rsid w:val="009F3843"/>
    <w:rsid w:val="00A0572B"/>
    <w:rsid w:val="00A06EF8"/>
    <w:rsid w:val="00A33EF2"/>
    <w:rsid w:val="00A36579"/>
    <w:rsid w:val="00A37724"/>
    <w:rsid w:val="00A43ADE"/>
    <w:rsid w:val="00A52E07"/>
    <w:rsid w:val="00A632D3"/>
    <w:rsid w:val="00A635C1"/>
    <w:rsid w:val="00A643BF"/>
    <w:rsid w:val="00A71C1E"/>
    <w:rsid w:val="00A723C4"/>
    <w:rsid w:val="00A775EC"/>
    <w:rsid w:val="00A8254F"/>
    <w:rsid w:val="00A84681"/>
    <w:rsid w:val="00A852FE"/>
    <w:rsid w:val="00A86083"/>
    <w:rsid w:val="00A86E36"/>
    <w:rsid w:val="00A96D4D"/>
    <w:rsid w:val="00AA29F6"/>
    <w:rsid w:val="00AA43F3"/>
    <w:rsid w:val="00AA5122"/>
    <w:rsid w:val="00AB15A2"/>
    <w:rsid w:val="00AC7A70"/>
    <w:rsid w:val="00AD1F4D"/>
    <w:rsid w:val="00AD3957"/>
    <w:rsid w:val="00AD39A1"/>
    <w:rsid w:val="00AE2947"/>
    <w:rsid w:val="00AF6744"/>
    <w:rsid w:val="00AF71AF"/>
    <w:rsid w:val="00B07433"/>
    <w:rsid w:val="00B07A5D"/>
    <w:rsid w:val="00B10534"/>
    <w:rsid w:val="00B131B1"/>
    <w:rsid w:val="00B14BCD"/>
    <w:rsid w:val="00B240DC"/>
    <w:rsid w:val="00B261B6"/>
    <w:rsid w:val="00B3131E"/>
    <w:rsid w:val="00B356A4"/>
    <w:rsid w:val="00B36B73"/>
    <w:rsid w:val="00B370D0"/>
    <w:rsid w:val="00B376A7"/>
    <w:rsid w:val="00B440DC"/>
    <w:rsid w:val="00B457BD"/>
    <w:rsid w:val="00B45AF9"/>
    <w:rsid w:val="00B47831"/>
    <w:rsid w:val="00B52C31"/>
    <w:rsid w:val="00B52D7D"/>
    <w:rsid w:val="00B53855"/>
    <w:rsid w:val="00B53BE7"/>
    <w:rsid w:val="00B64CCB"/>
    <w:rsid w:val="00B718C9"/>
    <w:rsid w:val="00B8311C"/>
    <w:rsid w:val="00B834C6"/>
    <w:rsid w:val="00B83A40"/>
    <w:rsid w:val="00B943F6"/>
    <w:rsid w:val="00B95841"/>
    <w:rsid w:val="00BA00AD"/>
    <w:rsid w:val="00BA1603"/>
    <w:rsid w:val="00BA1CE1"/>
    <w:rsid w:val="00BA2588"/>
    <w:rsid w:val="00BA2CC6"/>
    <w:rsid w:val="00BA609A"/>
    <w:rsid w:val="00BB1BB2"/>
    <w:rsid w:val="00BC080F"/>
    <w:rsid w:val="00BC0E77"/>
    <w:rsid w:val="00BC5BFA"/>
    <w:rsid w:val="00BE2B36"/>
    <w:rsid w:val="00BE33C0"/>
    <w:rsid w:val="00BE3B1A"/>
    <w:rsid w:val="00BE48A3"/>
    <w:rsid w:val="00C1190D"/>
    <w:rsid w:val="00C11FC8"/>
    <w:rsid w:val="00C12EBD"/>
    <w:rsid w:val="00C13DBC"/>
    <w:rsid w:val="00C201CF"/>
    <w:rsid w:val="00C23607"/>
    <w:rsid w:val="00C250F9"/>
    <w:rsid w:val="00C34B8B"/>
    <w:rsid w:val="00C4048D"/>
    <w:rsid w:val="00C416AA"/>
    <w:rsid w:val="00C439C0"/>
    <w:rsid w:val="00C5059B"/>
    <w:rsid w:val="00C536CF"/>
    <w:rsid w:val="00C65652"/>
    <w:rsid w:val="00C66E11"/>
    <w:rsid w:val="00C74529"/>
    <w:rsid w:val="00C75557"/>
    <w:rsid w:val="00C77E80"/>
    <w:rsid w:val="00C82205"/>
    <w:rsid w:val="00C82317"/>
    <w:rsid w:val="00C82BD4"/>
    <w:rsid w:val="00C8752D"/>
    <w:rsid w:val="00C907B9"/>
    <w:rsid w:val="00C935D8"/>
    <w:rsid w:val="00C96949"/>
    <w:rsid w:val="00CA65C4"/>
    <w:rsid w:val="00CB0E47"/>
    <w:rsid w:val="00CB6157"/>
    <w:rsid w:val="00CB6394"/>
    <w:rsid w:val="00CB64DF"/>
    <w:rsid w:val="00CB71C2"/>
    <w:rsid w:val="00CC127B"/>
    <w:rsid w:val="00CC6C03"/>
    <w:rsid w:val="00CC74B6"/>
    <w:rsid w:val="00CD23B9"/>
    <w:rsid w:val="00CD668A"/>
    <w:rsid w:val="00CE0F8C"/>
    <w:rsid w:val="00CE2823"/>
    <w:rsid w:val="00CF1CD5"/>
    <w:rsid w:val="00CF2F93"/>
    <w:rsid w:val="00CF35FE"/>
    <w:rsid w:val="00D0322C"/>
    <w:rsid w:val="00D14031"/>
    <w:rsid w:val="00D23F3C"/>
    <w:rsid w:val="00D32F67"/>
    <w:rsid w:val="00D45C3C"/>
    <w:rsid w:val="00D45E80"/>
    <w:rsid w:val="00D52D98"/>
    <w:rsid w:val="00D53610"/>
    <w:rsid w:val="00D57A69"/>
    <w:rsid w:val="00D61C01"/>
    <w:rsid w:val="00D63621"/>
    <w:rsid w:val="00D641A8"/>
    <w:rsid w:val="00D672FB"/>
    <w:rsid w:val="00D70F7A"/>
    <w:rsid w:val="00D7431C"/>
    <w:rsid w:val="00D80988"/>
    <w:rsid w:val="00D818B3"/>
    <w:rsid w:val="00D8270C"/>
    <w:rsid w:val="00D855EA"/>
    <w:rsid w:val="00D8625A"/>
    <w:rsid w:val="00D93AAC"/>
    <w:rsid w:val="00DA1639"/>
    <w:rsid w:val="00DA1691"/>
    <w:rsid w:val="00DA79EE"/>
    <w:rsid w:val="00DB217C"/>
    <w:rsid w:val="00DB3C32"/>
    <w:rsid w:val="00DC460F"/>
    <w:rsid w:val="00DC4FD9"/>
    <w:rsid w:val="00DD2A1C"/>
    <w:rsid w:val="00DD42D2"/>
    <w:rsid w:val="00DD5318"/>
    <w:rsid w:val="00DE44B5"/>
    <w:rsid w:val="00DE4B29"/>
    <w:rsid w:val="00DF6657"/>
    <w:rsid w:val="00E0363E"/>
    <w:rsid w:val="00E053ED"/>
    <w:rsid w:val="00E12638"/>
    <w:rsid w:val="00E213DF"/>
    <w:rsid w:val="00E317F7"/>
    <w:rsid w:val="00E371ED"/>
    <w:rsid w:val="00E37D07"/>
    <w:rsid w:val="00E44164"/>
    <w:rsid w:val="00E523F0"/>
    <w:rsid w:val="00E55650"/>
    <w:rsid w:val="00E57790"/>
    <w:rsid w:val="00E65138"/>
    <w:rsid w:val="00E72B7A"/>
    <w:rsid w:val="00EA04F0"/>
    <w:rsid w:val="00EA0D4A"/>
    <w:rsid w:val="00EA0FD2"/>
    <w:rsid w:val="00EB1048"/>
    <w:rsid w:val="00EB479D"/>
    <w:rsid w:val="00EB5A51"/>
    <w:rsid w:val="00EB7A4C"/>
    <w:rsid w:val="00EC406E"/>
    <w:rsid w:val="00ED11B4"/>
    <w:rsid w:val="00ED3C69"/>
    <w:rsid w:val="00EF11AE"/>
    <w:rsid w:val="00EF4E8B"/>
    <w:rsid w:val="00EF7044"/>
    <w:rsid w:val="00EF7AC2"/>
    <w:rsid w:val="00F00FCD"/>
    <w:rsid w:val="00F04BF3"/>
    <w:rsid w:val="00F14A0E"/>
    <w:rsid w:val="00F25559"/>
    <w:rsid w:val="00F31921"/>
    <w:rsid w:val="00F32E76"/>
    <w:rsid w:val="00F36287"/>
    <w:rsid w:val="00F53CC9"/>
    <w:rsid w:val="00F6742C"/>
    <w:rsid w:val="00F708F9"/>
    <w:rsid w:val="00F70918"/>
    <w:rsid w:val="00F71E30"/>
    <w:rsid w:val="00F72421"/>
    <w:rsid w:val="00F8176E"/>
    <w:rsid w:val="00F908A5"/>
    <w:rsid w:val="00F95B4C"/>
    <w:rsid w:val="00F96218"/>
    <w:rsid w:val="00FA15F2"/>
    <w:rsid w:val="00FA1E86"/>
    <w:rsid w:val="00FA48FA"/>
    <w:rsid w:val="00FA57D9"/>
    <w:rsid w:val="00FA75A8"/>
    <w:rsid w:val="00FD1BFA"/>
    <w:rsid w:val="00FD43E3"/>
    <w:rsid w:val="00FD68A9"/>
    <w:rsid w:val="00FD6A05"/>
    <w:rsid w:val="00FD71BE"/>
    <w:rsid w:val="00FE23F3"/>
    <w:rsid w:val="00FE5748"/>
    <w:rsid w:val="00FF07DB"/>
    <w:rsid w:val="00FF0E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EDFF35-22FE-4B0B-AE66-F153D2E8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D3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A2D35"/>
    <w:pPr>
      <w:ind w:left="720"/>
      <w:contextualSpacing/>
    </w:pPr>
  </w:style>
  <w:style w:type="paragraph" w:styleId="Citationintense">
    <w:name w:val="Intense Quote"/>
    <w:basedOn w:val="Normal"/>
    <w:next w:val="Normal"/>
    <w:link w:val="CitationintenseCar"/>
    <w:uiPriority w:val="30"/>
    <w:qFormat/>
    <w:rsid w:val="009A2D3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9A2D35"/>
    <w:rPr>
      <w:i/>
      <w:iCs/>
      <w:color w:val="5B9BD5" w:themeColor="accent1"/>
    </w:rPr>
  </w:style>
  <w:style w:type="paragraph" w:styleId="En-tte">
    <w:name w:val="header"/>
    <w:basedOn w:val="Normal"/>
    <w:link w:val="En-tteCar"/>
    <w:uiPriority w:val="99"/>
    <w:unhideWhenUsed/>
    <w:rsid w:val="00D45E80"/>
    <w:pPr>
      <w:tabs>
        <w:tab w:val="center" w:pos="4536"/>
        <w:tab w:val="right" w:pos="9072"/>
      </w:tabs>
      <w:spacing w:after="0" w:line="240" w:lineRule="auto"/>
    </w:pPr>
  </w:style>
  <w:style w:type="character" w:customStyle="1" w:styleId="En-tteCar">
    <w:name w:val="En-tête Car"/>
    <w:basedOn w:val="Policepardfaut"/>
    <w:link w:val="En-tte"/>
    <w:uiPriority w:val="99"/>
    <w:rsid w:val="00D45E80"/>
  </w:style>
  <w:style w:type="paragraph" w:styleId="Pieddepage">
    <w:name w:val="footer"/>
    <w:basedOn w:val="Normal"/>
    <w:link w:val="PieddepageCar"/>
    <w:uiPriority w:val="99"/>
    <w:unhideWhenUsed/>
    <w:rsid w:val="00D45E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5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5</Pages>
  <Words>1656</Words>
  <Characters>9109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10744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Secrétariat Technique</cp:lastModifiedBy>
  <cp:revision>24</cp:revision>
  <dcterms:created xsi:type="dcterms:W3CDTF">2016-04-15T08:08:00Z</dcterms:created>
  <dcterms:modified xsi:type="dcterms:W3CDTF">2018-10-21T20:38:00Z</dcterms:modified>
</cp:coreProperties>
</file>